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b/>
          <w:bCs/>
          <w:sz w:val="28"/>
          <w:szCs w:val="28"/>
        </w:rPr>
      </w:pPr>
      <w:r>
        <w:rPr>
          <w:rFonts w:hint="eastAsia"/>
          <w:b/>
          <w:bCs/>
          <w:sz w:val="28"/>
          <w:szCs w:val="28"/>
        </w:rPr>
        <w:t>华弘教育服务（云浮）有限公司云浮华弘学校（一期）项目</w:t>
      </w:r>
    </w:p>
    <w:p>
      <w:pPr>
        <w:ind w:left="0" w:leftChars="0" w:firstLine="0" w:firstLineChars="0"/>
        <w:jc w:val="center"/>
        <w:rPr>
          <w:rFonts w:hint="eastAsia"/>
          <w:b/>
          <w:bCs/>
          <w:sz w:val="28"/>
          <w:szCs w:val="28"/>
        </w:rPr>
      </w:pPr>
      <w:r>
        <w:rPr>
          <w:rFonts w:hint="eastAsia"/>
          <w:b/>
          <w:bCs/>
          <w:sz w:val="28"/>
          <w:szCs w:val="28"/>
        </w:rPr>
        <w:t>地块土壤污染状况初步调查公示</w:t>
      </w:r>
    </w:p>
    <w:p>
      <w:pPr>
        <w:ind w:firstLine="480"/>
        <w:rPr>
          <w:rFonts w:hint="eastAsia" w:cs="Times New Roman"/>
          <w:color w:val="000000" w:themeColor="text1"/>
          <w:kern w:val="0"/>
          <w:sz w:val="24"/>
          <w:u w:val="none"/>
          <w:vertAlign w:val="baseline"/>
          <w:lang w:val="en-US" w:eastAsia="zh-CN"/>
          <w14:textFill>
            <w14:solidFill>
              <w14:schemeClr w14:val="tx1"/>
            </w14:solidFill>
          </w14:textFill>
        </w:rPr>
      </w:pPr>
      <w:bookmarkStart w:id="0" w:name="_GoBack"/>
      <w:r>
        <w:rPr>
          <w:rFonts w:hint="eastAsia"/>
          <w:color w:val="000000" w:themeColor="text1"/>
          <w:u w:val="none"/>
          <w14:textFill>
            <w14:solidFill>
              <w14:schemeClr w14:val="tx1"/>
            </w14:solidFill>
          </w14:textFill>
        </w:rPr>
        <w:t>华弘教育服务（云浮）有限公司云浮华弘学校（一期）项目地块</w:t>
      </w:r>
      <w:r>
        <w:rPr>
          <w:color w:val="000000" w:themeColor="text1"/>
          <w:u w:val="none"/>
          <w14:textFill>
            <w14:solidFill>
              <w14:schemeClr w14:val="tx1"/>
            </w14:solidFill>
          </w14:textFill>
        </w:rPr>
        <w:t>位于</w:t>
      </w:r>
      <w:r>
        <w:rPr>
          <w:rFonts w:hint="eastAsia"/>
          <w:color w:val="000000" w:themeColor="text1"/>
          <w:u w:val="none"/>
          <w14:textFill>
            <w14:solidFill>
              <w14:schemeClr w14:val="tx1"/>
            </w14:solidFill>
          </w14:textFill>
        </w:rPr>
        <w:t>云浮市云城区云城街道罗沙村茶山地段</w:t>
      </w:r>
      <w:r>
        <w:rPr>
          <w:color w:val="000000" w:themeColor="text1"/>
          <w:u w:val="none"/>
          <w14:textFill>
            <w14:solidFill>
              <w14:schemeClr w14:val="tx1"/>
            </w14:solidFill>
          </w14:textFill>
        </w:rPr>
        <w:t>，地块本次调查面积为</w:t>
      </w:r>
      <w:r>
        <w:rPr>
          <w:rFonts w:hint="eastAsia" w:cs="Times New Roman"/>
          <w:color w:val="000000" w:themeColor="text1"/>
          <w:kern w:val="0"/>
          <w:sz w:val="24"/>
          <w:u w:val="none"/>
          <w:lang w:val="en-US" w:eastAsia="zh-CN"/>
          <w14:textFill>
            <w14:solidFill>
              <w14:schemeClr w14:val="tx1"/>
            </w14:solidFill>
          </w14:textFill>
        </w:rPr>
        <w:t>198051.21</w:t>
      </w:r>
      <w:r>
        <w:rPr>
          <w:rFonts w:hint="default" w:ascii="Times New Roman" w:hAnsi="Times New Roman" w:cs="Times New Roman"/>
          <w:color w:val="000000" w:themeColor="text1"/>
          <w:kern w:val="0"/>
          <w:sz w:val="24"/>
          <w:u w:val="none"/>
          <w:lang w:val="en-US" w:eastAsia="zh-CN"/>
          <w14:textFill>
            <w14:solidFill>
              <w14:schemeClr w14:val="tx1"/>
            </w14:solidFill>
          </w14:textFill>
        </w:rPr>
        <w:t>m</w:t>
      </w:r>
      <w:r>
        <w:rPr>
          <w:rFonts w:hint="default" w:ascii="Times New Roman" w:hAnsi="Times New Roman" w:cs="Times New Roman"/>
          <w:color w:val="000000" w:themeColor="text1"/>
          <w:kern w:val="0"/>
          <w:sz w:val="24"/>
          <w:u w:val="none"/>
          <w:vertAlign w:val="superscript"/>
          <w:lang w:val="en-US" w:eastAsia="zh-CN"/>
          <w14:textFill>
            <w14:solidFill>
              <w14:schemeClr w14:val="tx1"/>
            </w14:solidFill>
          </w14:textFill>
        </w:rPr>
        <w:t>2</w:t>
      </w:r>
      <w:r>
        <w:rPr>
          <w:rFonts w:hint="eastAsia" w:cs="Times New Roman"/>
          <w:color w:val="000000" w:themeColor="text1"/>
          <w:kern w:val="0"/>
          <w:sz w:val="24"/>
          <w:u w:val="none"/>
          <w:vertAlign w:val="baseline"/>
          <w:lang w:val="en-US" w:eastAsia="zh-CN"/>
          <w14:textFill>
            <w14:solidFill>
              <w14:schemeClr w14:val="tx1"/>
            </w14:solidFill>
          </w14:textFill>
        </w:rPr>
        <w:t>，</w:t>
      </w:r>
      <w:r>
        <w:rPr>
          <w:color w:val="000000" w:themeColor="text1"/>
          <w:u w:val="none"/>
          <w14:textFill>
            <w14:solidFill>
              <w14:schemeClr w14:val="tx1"/>
            </w14:solidFill>
          </w14:textFill>
        </w:rPr>
        <w:t>地块中心地理位置坐标为东经</w:t>
      </w:r>
      <w:r>
        <w:rPr>
          <w:rFonts w:hint="eastAsia"/>
          <w:color w:val="000000" w:themeColor="text1"/>
          <w:u w:val="none"/>
          <w14:textFill>
            <w14:solidFill>
              <w14:schemeClr w14:val="tx1"/>
            </w14:solidFill>
          </w14:textFill>
        </w:rPr>
        <w:t>112</w:t>
      </w:r>
      <w:r>
        <w:rPr>
          <w:color w:val="000000" w:themeColor="text1"/>
          <w:u w:val="none"/>
          <w14:textFill>
            <w14:solidFill>
              <w14:schemeClr w14:val="tx1"/>
            </w14:solidFill>
          </w14:textFill>
        </w:rPr>
        <w:t>°</w:t>
      </w:r>
      <w:r>
        <w:rPr>
          <w:rFonts w:hint="eastAsia"/>
          <w:color w:val="000000" w:themeColor="text1"/>
          <w:u w:val="none"/>
          <w14:textFill>
            <w14:solidFill>
              <w14:schemeClr w14:val="tx1"/>
            </w14:solidFill>
          </w14:textFill>
        </w:rPr>
        <w:t>3</w:t>
      </w:r>
      <w:r>
        <w:rPr>
          <w:color w:val="000000" w:themeColor="text1"/>
          <w:u w:val="none"/>
          <w14:textFill>
            <w14:solidFill>
              <w14:schemeClr w14:val="tx1"/>
            </w14:solidFill>
          </w14:textFill>
        </w:rPr>
        <w:t>′</w:t>
      </w:r>
      <w:r>
        <w:rPr>
          <w:rFonts w:hint="eastAsia"/>
          <w:color w:val="000000" w:themeColor="text1"/>
          <w:u w:val="none"/>
          <w14:textFill>
            <w14:solidFill>
              <w14:schemeClr w14:val="tx1"/>
            </w14:solidFill>
          </w14:textFill>
        </w:rPr>
        <w:t>52.10</w:t>
      </w:r>
      <w:r>
        <w:rPr>
          <w:color w:val="000000" w:themeColor="text1"/>
          <w:u w:val="none"/>
          <w14:textFill>
            <w14:solidFill>
              <w14:schemeClr w14:val="tx1"/>
            </w14:solidFill>
          </w14:textFill>
        </w:rPr>
        <w:t>″，北纬</w:t>
      </w:r>
      <w:r>
        <w:rPr>
          <w:rFonts w:hint="eastAsia"/>
          <w:color w:val="000000" w:themeColor="text1"/>
          <w:u w:val="none"/>
          <w14:textFill>
            <w14:solidFill>
              <w14:schemeClr w14:val="tx1"/>
            </w14:solidFill>
          </w14:textFill>
        </w:rPr>
        <w:t>22</w:t>
      </w:r>
      <w:r>
        <w:rPr>
          <w:color w:val="000000" w:themeColor="text1"/>
          <w:u w:val="none"/>
          <w14:textFill>
            <w14:solidFill>
              <w14:schemeClr w14:val="tx1"/>
            </w14:solidFill>
          </w14:textFill>
        </w:rPr>
        <w:t>°</w:t>
      </w:r>
      <w:r>
        <w:rPr>
          <w:rFonts w:hint="eastAsia"/>
          <w:color w:val="000000" w:themeColor="text1"/>
          <w:u w:val="none"/>
          <w14:textFill>
            <w14:solidFill>
              <w14:schemeClr w14:val="tx1"/>
            </w14:solidFill>
          </w14:textFill>
        </w:rPr>
        <w:t>57</w:t>
      </w:r>
      <w:r>
        <w:rPr>
          <w:color w:val="000000" w:themeColor="text1"/>
          <w:u w:val="none"/>
          <w14:textFill>
            <w14:solidFill>
              <w14:schemeClr w14:val="tx1"/>
            </w14:solidFill>
          </w14:textFill>
        </w:rPr>
        <w:t>′</w:t>
      </w:r>
      <w:r>
        <w:rPr>
          <w:rFonts w:hint="eastAsia"/>
          <w:color w:val="000000" w:themeColor="text1"/>
          <w:u w:val="none"/>
          <w14:textFill>
            <w14:solidFill>
              <w14:schemeClr w14:val="tx1"/>
            </w14:solidFill>
          </w14:textFill>
        </w:rPr>
        <w:t>26.92</w:t>
      </w:r>
      <w:r>
        <w:rPr>
          <w:color w:val="000000" w:themeColor="text1"/>
          <w:u w:val="none"/>
          <w14:textFill>
            <w14:solidFill>
              <w14:schemeClr w14:val="tx1"/>
            </w14:solidFill>
          </w14:textFill>
        </w:rPr>
        <w:t>″。本地块原为</w:t>
      </w:r>
      <w:r>
        <w:rPr>
          <w:rFonts w:hint="eastAsia"/>
          <w:color w:val="000000" w:themeColor="text1"/>
          <w:u w:val="none"/>
          <w:lang w:eastAsia="zh-CN"/>
          <w14:textFill>
            <w14:solidFill>
              <w14:schemeClr w14:val="tx1"/>
            </w14:solidFill>
          </w14:textFill>
        </w:rPr>
        <w:t>林地</w:t>
      </w:r>
      <w:r>
        <w:rPr>
          <w:color w:val="000000" w:themeColor="text1"/>
          <w:u w:val="none"/>
          <w14:textFill>
            <w14:solidFill>
              <w14:schemeClr w14:val="tx1"/>
            </w14:solidFill>
          </w14:textFill>
        </w:rPr>
        <w:t>，</w:t>
      </w:r>
      <w:r>
        <w:rPr>
          <w:rFonts w:hint="default" w:ascii="Times New Roman" w:hAnsi="Times New Roman" w:eastAsia="宋体" w:cs="Times New Roman"/>
          <w:color w:val="000000" w:themeColor="text1"/>
          <w:kern w:val="0"/>
          <w:sz w:val="24"/>
          <w:u w:val="none"/>
          <w:lang w:val="en-US" w:eastAsia="zh-CN"/>
          <w14:textFill>
            <w14:solidFill>
              <w14:schemeClr w14:val="tx1"/>
            </w14:solidFill>
          </w14:textFill>
        </w:rPr>
        <w:t>1985~20</w:t>
      </w:r>
      <w:r>
        <w:rPr>
          <w:rFonts w:hint="eastAsia" w:ascii="Times New Roman" w:hAnsi="Times New Roman" w:cs="Times New Roman"/>
          <w:color w:val="000000" w:themeColor="text1"/>
          <w:kern w:val="0"/>
          <w:sz w:val="24"/>
          <w:u w:val="none"/>
          <w:lang w:val="en-US" w:eastAsia="zh-CN"/>
          <w14:textFill>
            <w14:solidFill>
              <w14:schemeClr w14:val="tx1"/>
            </w14:solidFill>
          </w14:textFill>
        </w:rPr>
        <w:t>03</w:t>
      </w:r>
      <w:r>
        <w:rPr>
          <w:rFonts w:hint="default" w:ascii="Times New Roman" w:hAnsi="Times New Roman" w:eastAsia="宋体" w:cs="Times New Roman"/>
          <w:color w:val="000000" w:themeColor="text1"/>
          <w:kern w:val="0"/>
          <w:sz w:val="24"/>
          <w:u w:val="none"/>
          <w:lang w:val="en-US" w:eastAsia="zh-CN"/>
          <w14:textFill>
            <w14:solidFill>
              <w14:schemeClr w14:val="tx1"/>
            </w14:solidFill>
          </w14:textFill>
        </w:rPr>
        <w:t>年期间地块用途为农用地，地块内主要为林地</w:t>
      </w:r>
      <w:r>
        <w:rPr>
          <w:rFonts w:hint="default" w:ascii="Times New Roman" w:hAnsi="Times New Roman" w:cs="Times New Roman"/>
          <w:color w:val="000000" w:themeColor="text1"/>
          <w:kern w:val="0"/>
          <w:sz w:val="24"/>
          <w:u w:val="none"/>
          <w:lang w:val="en-US" w:eastAsia="zh-CN"/>
          <w14:textFill>
            <w14:solidFill>
              <w14:schemeClr w14:val="tx1"/>
            </w14:solidFill>
          </w14:textFill>
        </w:rPr>
        <w:t>，</w:t>
      </w:r>
      <w:r>
        <w:rPr>
          <w:rFonts w:hint="eastAsia" w:eastAsia="宋体" w:cs="Times New Roman"/>
          <w:color w:val="000000" w:themeColor="text1"/>
          <w:u w:val="none"/>
          <w:lang w:val="en-US" w:eastAsia="zh-CN"/>
          <w14:textFill>
            <w14:solidFill>
              <w14:schemeClr w14:val="tx1"/>
            </w14:solidFill>
          </w14:textFill>
        </w:rPr>
        <w:t>主要为天然灌木林，类型主要为松树、相思树、木荷等灌木及蕨类等草本植物</w:t>
      </w:r>
      <w:r>
        <w:rPr>
          <w:rFonts w:hint="eastAsia" w:eastAsia="宋体" w:cs="Times New Roman"/>
          <w:color w:val="000000" w:themeColor="text1"/>
          <w:kern w:val="0"/>
          <w:sz w:val="24"/>
          <w:u w:val="none"/>
          <w:lang w:val="en-US" w:eastAsia="zh-CN"/>
          <w14:textFill>
            <w14:solidFill>
              <w14:schemeClr w14:val="tx1"/>
            </w14:solidFill>
          </w14:textFill>
        </w:rPr>
        <w:t>；2003年</w:t>
      </w:r>
      <w:r>
        <w:rPr>
          <w:rFonts w:hint="default" w:ascii="Times New Roman" w:hAnsi="Times New Roman" w:eastAsia="宋体" w:cs="Times New Roman"/>
          <w:color w:val="000000" w:themeColor="text1"/>
          <w:kern w:val="0"/>
          <w:sz w:val="24"/>
          <w:u w:val="none"/>
          <w:lang w:val="en-US" w:eastAsia="zh-CN"/>
          <w14:textFill>
            <w14:solidFill>
              <w14:schemeClr w14:val="tx1"/>
            </w14:solidFill>
          </w14:textFill>
        </w:rPr>
        <w:t>~</w:t>
      </w:r>
      <w:r>
        <w:rPr>
          <w:rFonts w:hint="eastAsia" w:eastAsia="宋体" w:cs="Times New Roman"/>
          <w:color w:val="000000" w:themeColor="text1"/>
          <w:kern w:val="0"/>
          <w:sz w:val="24"/>
          <w:u w:val="none"/>
          <w:lang w:val="en-US" w:eastAsia="zh-CN"/>
          <w14:textFill>
            <w14:solidFill>
              <w14:schemeClr w14:val="tx1"/>
            </w14:solidFill>
          </w14:textFill>
        </w:rPr>
        <w:t>2008年，地块东侧存在果树种植和家禽养殖区，面积约为1333.34</w:t>
      </w:r>
      <w:r>
        <w:rPr>
          <w:rFonts w:hint="default" w:ascii="Times New Roman" w:hAnsi="Times New Roman" w:cs="Times New Roman"/>
          <w:color w:val="000000" w:themeColor="text1"/>
          <w:kern w:val="0"/>
          <w:sz w:val="24"/>
          <w:u w:val="none"/>
          <w:lang w:val="en-US" w:eastAsia="zh-CN"/>
          <w14:textFill>
            <w14:solidFill>
              <w14:schemeClr w14:val="tx1"/>
            </w14:solidFill>
          </w14:textFill>
        </w:rPr>
        <w:t>m</w:t>
      </w:r>
      <w:r>
        <w:rPr>
          <w:rFonts w:hint="default" w:ascii="Times New Roman" w:hAnsi="Times New Roman" w:cs="Times New Roman"/>
          <w:color w:val="000000" w:themeColor="text1"/>
          <w:kern w:val="0"/>
          <w:sz w:val="24"/>
          <w:u w:val="none"/>
          <w:vertAlign w:val="superscript"/>
          <w:lang w:val="en-US" w:eastAsia="zh-CN"/>
          <w14:textFill>
            <w14:solidFill>
              <w14:schemeClr w14:val="tx1"/>
            </w14:solidFill>
          </w14:textFill>
        </w:rPr>
        <w:t>2</w:t>
      </w:r>
      <w:r>
        <w:rPr>
          <w:rFonts w:hint="eastAsia" w:cs="Times New Roman"/>
          <w:color w:val="000000" w:themeColor="text1"/>
          <w:kern w:val="0"/>
          <w:sz w:val="24"/>
          <w:u w:val="none"/>
          <w:vertAlign w:val="baseline"/>
          <w:lang w:val="en-US" w:eastAsia="zh-CN"/>
          <w14:textFill>
            <w14:solidFill>
              <w14:schemeClr w14:val="tx1"/>
            </w14:solidFill>
          </w14:textFill>
        </w:rPr>
        <w:t>，该区域主要种植砂糖橘、养殖肉鸡（养殖规模小于200羽）；2006~2020年，地块东南侧设置一个对外堆场（建筑石料堆场）面积约为2600</w:t>
      </w:r>
      <w:r>
        <w:rPr>
          <w:rFonts w:hint="default" w:ascii="Times New Roman" w:hAnsi="Times New Roman" w:cs="Times New Roman"/>
          <w:color w:val="000000" w:themeColor="text1"/>
          <w:kern w:val="0"/>
          <w:sz w:val="24"/>
          <w:u w:val="none"/>
          <w:lang w:val="en-US" w:eastAsia="zh-CN"/>
          <w14:textFill>
            <w14:solidFill>
              <w14:schemeClr w14:val="tx1"/>
            </w14:solidFill>
          </w14:textFill>
        </w:rPr>
        <w:t>m</w:t>
      </w:r>
      <w:r>
        <w:rPr>
          <w:rFonts w:hint="default" w:ascii="Times New Roman" w:hAnsi="Times New Roman" w:cs="Times New Roman"/>
          <w:color w:val="000000" w:themeColor="text1"/>
          <w:kern w:val="0"/>
          <w:sz w:val="24"/>
          <w:u w:val="none"/>
          <w:vertAlign w:val="superscript"/>
          <w:lang w:val="en-US" w:eastAsia="zh-CN"/>
          <w14:textFill>
            <w14:solidFill>
              <w14:schemeClr w14:val="tx1"/>
            </w14:solidFill>
          </w14:textFill>
        </w:rPr>
        <w:t>2</w:t>
      </w:r>
      <w:r>
        <w:rPr>
          <w:rFonts w:hint="eastAsia" w:cs="Times New Roman"/>
          <w:color w:val="000000" w:themeColor="text1"/>
          <w:kern w:val="0"/>
          <w:sz w:val="24"/>
          <w:u w:val="none"/>
          <w:vertAlign w:val="baseline"/>
          <w:lang w:val="en-US" w:eastAsia="zh-CN"/>
          <w14:textFill>
            <w14:solidFill>
              <w14:schemeClr w14:val="tx1"/>
            </w14:solidFill>
          </w14:textFill>
        </w:rPr>
        <w:t>年，其他区域一直为林地，其使用功能为发生变化；目前地块内植被基本被清理，建筑石料堆场石料被清理，建筑物被拆除；地块东南侧部分山体已开挖。</w:t>
      </w:r>
    </w:p>
    <w:p>
      <w:pPr>
        <w:ind w:firstLine="48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根据《云浮市中心城区云城组团北片区控制性详细规划》</w:t>
      </w:r>
      <w:r>
        <w:rPr>
          <w:rFonts w:hint="eastAsia"/>
          <w:color w:val="000000" w:themeColor="text1"/>
          <w:u w:val="none"/>
          <w:lang w:eastAsia="zh-CN"/>
          <w14:textFill>
            <w14:solidFill>
              <w14:schemeClr w14:val="tx1"/>
            </w14:solidFill>
          </w14:textFill>
        </w:rPr>
        <w:t>，结合土地使用权人提供的《中华人民共和国不动产权证书》</w:t>
      </w:r>
      <w:r>
        <w:rPr>
          <w:rFonts w:hint="default" w:ascii="Times New Roman" w:hAnsi="Times New Roman" w:eastAsia="宋体" w:cs="Times New Roman"/>
          <w:color w:val="000000" w:themeColor="text1"/>
          <w:kern w:val="0"/>
          <w:sz w:val="24"/>
          <w:u w:val="none"/>
          <w:lang w:val="en-US" w:eastAsia="zh-CN"/>
          <w14:textFill>
            <w14:solidFill>
              <w14:schemeClr w14:val="tx1"/>
            </w14:solidFill>
          </w14:textFill>
        </w:rPr>
        <w:t>（</w:t>
      </w:r>
      <w:r>
        <w:rPr>
          <w:rFonts w:hint="eastAsia" w:eastAsia="宋体" w:cs="Times New Roman"/>
          <w:color w:val="000000" w:themeColor="text1"/>
          <w:kern w:val="0"/>
          <w:sz w:val="24"/>
          <w:u w:val="none"/>
          <w:lang w:val="en-US" w:eastAsia="zh-CN"/>
          <w14:textFill>
            <w14:solidFill>
              <w14:schemeClr w14:val="tx1"/>
            </w14:solidFill>
          </w14:textFill>
        </w:rPr>
        <w:t>粤（2021）云浮市不动产权第0015397号</w:t>
      </w:r>
      <w:r>
        <w:rPr>
          <w:rFonts w:hint="default" w:ascii="Times New Roman" w:hAnsi="Times New Roman" w:eastAsia="宋体" w:cs="Times New Roman"/>
          <w:color w:val="000000" w:themeColor="text1"/>
          <w:kern w:val="0"/>
          <w:sz w:val="24"/>
          <w:u w:val="none"/>
          <w:lang w:val="en-US" w:eastAsia="zh-CN"/>
          <w14:textFill>
            <w14:solidFill>
              <w14:schemeClr w14:val="tx1"/>
            </w14:solidFill>
          </w14:textFill>
        </w:rPr>
        <w:t>）</w:t>
      </w:r>
      <w:r>
        <w:rPr>
          <w:rFonts w:hint="eastAsia"/>
          <w:color w:val="000000" w:themeColor="text1"/>
          <w:u w:val="none"/>
          <w14:textFill>
            <w14:solidFill>
              <w14:schemeClr w14:val="tx1"/>
            </w14:solidFill>
          </w14:textFill>
        </w:rPr>
        <w:t>，本地块规划为</w:t>
      </w:r>
      <w:r>
        <w:rPr>
          <w:rFonts w:hint="eastAsia"/>
          <w:color w:val="000000" w:themeColor="text1"/>
          <w:u w:val="none"/>
          <w:lang w:eastAsia="zh-CN"/>
          <w14:textFill>
            <w14:solidFill>
              <w14:schemeClr w14:val="tx1"/>
            </w14:solidFill>
          </w14:textFill>
        </w:rPr>
        <w:t>教育用地</w:t>
      </w:r>
      <w:r>
        <w:rPr>
          <w:color w:val="000000" w:themeColor="text1"/>
          <w:u w:val="none"/>
          <w14:textFill>
            <w14:solidFill>
              <w14:schemeClr w14:val="tx1"/>
            </w14:solidFill>
          </w14:textFill>
        </w:rPr>
        <w:t>。</w:t>
      </w:r>
    </w:p>
    <w:p>
      <w:pPr>
        <w:rPr>
          <w:rFonts w:hint="eastAsia" w:ascii="Times New Roman" w:hAnsi="Times New Roman" w:eastAsia="宋体" w:cs="Times New Roman"/>
          <w:color w:val="000000" w:themeColor="text1"/>
          <w:kern w:val="0"/>
          <w:sz w:val="24"/>
          <w:u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u w:val="none"/>
          <w:lang w:val="en-US" w:eastAsia="zh-CN"/>
          <w14:textFill>
            <w14:solidFill>
              <w14:schemeClr w14:val="tx1"/>
            </w14:solidFill>
          </w14:textFill>
        </w:rPr>
        <w:t>根据华弘教育服务（云浮）有限公司与云浮市云城区签订的《&lt;投资办学协议书&gt;之文化体育公园建设协议书》，2020年9月双方协议约定华弘学校位于云城街道牧羊村委、罗沙村委、高峰街道高峰社区茶山地块，总占地面积约为527亩，其中约352亩为教育用地，由乙方通过土地挂牌出让方式取得，并作为学校建设用地，2021年4月已获得约131亩（87605.73m</w:t>
      </w:r>
      <w:r>
        <w:rPr>
          <w:rFonts w:hint="eastAsia" w:ascii="Times New Roman" w:hAnsi="Times New Roman" w:eastAsia="宋体" w:cs="Times New Roman"/>
          <w:color w:val="000000" w:themeColor="text1"/>
          <w:kern w:val="0"/>
          <w:sz w:val="24"/>
          <w:u w:val="none"/>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kern w:val="0"/>
          <w:sz w:val="24"/>
          <w:u w:val="none"/>
          <w:lang w:val="en-US" w:eastAsia="zh-CN"/>
          <w14:textFill>
            <w14:solidFill>
              <w14:schemeClr w14:val="tx1"/>
            </w14:solidFill>
          </w14:textFill>
        </w:rPr>
        <w:t>），另位于茶山地块约175亩文体用地（具体以实际移交使用面积计算，最终测量为110445.48m</w:t>
      </w:r>
      <w:r>
        <w:rPr>
          <w:rFonts w:hint="eastAsia" w:ascii="Times New Roman" w:hAnsi="Times New Roman" w:eastAsia="宋体" w:cs="Times New Roman"/>
          <w:color w:val="000000" w:themeColor="text1"/>
          <w:kern w:val="0"/>
          <w:sz w:val="24"/>
          <w:u w:val="none"/>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kern w:val="0"/>
          <w:sz w:val="24"/>
          <w:u w:val="none"/>
          <w:lang w:val="en-US" w:eastAsia="zh-CN"/>
          <w14:textFill>
            <w14:solidFill>
              <w14:schemeClr w14:val="tx1"/>
            </w14:solidFill>
          </w14:textFill>
        </w:rPr>
        <w:t>），由云浮市云城区人民政府收储，乙方负责投资建设为运动场、凉亭、绿化、道路等相应文体设施；云浮市云城区人民政府同意在文化体育公园建成后由乙方同意管理使用，管理使用期限原则上与茶山地块出让的教育用地使用期限保持一致，文化体育公园土地及相关设施权属归甲方所有，建设完成后由华弘学校负责管理及维护，并由华弘学校与市民共同使用；华弘学校在使用期间需按照相关法律法规对公园开展管理工作，承担公园内配套设施的维护义务。</w:t>
      </w:r>
    </w:p>
    <w:p>
      <w:pPr>
        <w:rPr>
          <w:color w:val="000000" w:themeColor="text1"/>
          <w:u w:val="none"/>
          <w14:textFill>
            <w14:solidFill>
              <w14:schemeClr w14:val="tx1"/>
            </w14:solidFill>
          </w14:textFill>
        </w:rPr>
      </w:pPr>
      <w:r>
        <w:rPr>
          <w:rFonts w:hint="eastAsia" w:ascii="Times New Roman" w:hAnsi="Times New Roman" w:eastAsia="宋体" w:cs="Times New Roman"/>
          <w:color w:val="000000" w:themeColor="text1"/>
          <w:kern w:val="0"/>
          <w:sz w:val="24"/>
          <w:u w:val="none"/>
          <w:lang w:val="en-US" w:eastAsia="zh-CN"/>
          <w14:textFill>
            <w14:solidFill>
              <w14:schemeClr w14:val="tx1"/>
            </w14:solidFill>
          </w14:textFill>
        </w:rPr>
        <w:t>结合土地使用权人提供的</w:t>
      </w:r>
      <w:r>
        <w:rPr>
          <w:rFonts w:hint="default" w:ascii="Times New Roman" w:hAnsi="Times New Roman" w:eastAsia="宋体" w:cs="Times New Roman"/>
          <w:color w:val="000000" w:themeColor="text1"/>
          <w:kern w:val="0"/>
          <w:sz w:val="24"/>
          <w:u w:val="none"/>
          <w:lang w:val="en-US" w:eastAsia="zh-CN"/>
          <w14:textFill>
            <w14:solidFill>
              <w14:schemeClr w14:val="tx1"/>
            </w14:solidFill>
          </w14:textFill>
        </w:rPr>
        <w:t>《中华人民共和国不动产权证书）》（</w:t>
      </w:r>
      <w:r>
        <w:rPr>
          <w:rFonts w:hint="eastAsia" w:ascii="Times New Roman" w:hAnsi="Times New Roman" w:eastAsia="宋体" w:cs="Times New Roman"/>
          <w:color w:val="000000" w:themeColor="text1"/>
          <w:kern w:val="0"/>
          <w:sz w:val="24"/>
          <w:u w:val="none"/>
          <w:lang w:val="en-US" w:eastAsia="zh-CN"/>
          <w14:textFill>
            <w14:solidFill>
              <w14:schemeClr w14:val="tx1"/>
            </w14:solidFill>
          </w14:textFill>
        </w:rPr>
        <w:t>粤（2021）云浮市不动产权第0015397号</w:t>
      </w:r>
      <w:r>
        <w:rPr>
          <w:rFonts w:hint="default" w:ascii="Times New Roman" w:hAnsi="Times New Roman" w:eastAsia="宋体" w:cs="Times New Roman"/>
          <w:color w:val="000000" w:themeColor="text1"/>
          <w:kern w:val="0"/>
          <w:sz w:val="24"/>
          <w:u w:val="none"/>
          <w:lang w:val="en-US" w:eastAsia="zh-CN"/>
          <w14:textFill>
            <w14:solidFill>
              <w14:schemeClr w14:val="tx1"/>
            </w14:solidFill>
          </w14:textFill>
        </w:rPr>
        <w:t>）文件资料</w:t>
      </w:r>
      <w:r>
        <w:rPr>
          <w:rFonts w:hint="eastAsia" w:ascii="Times New Roman" w:hAnsi="Times New Roman" w:eastAsia="宋体" w:cs="Times New Roman"/>
          <w:color w:val="000000" w:themeColor="text1"/>
          <w:kern w:val="0"/>
          <w:sz w:val="24"/>
          <w:u w:val="none"/>
          <w:lang w:val="en-US" w:eastAsia="zh-CN"/>
          <w14:textFill>
            <w14:solidFill>
              <w14:schemeClr w14:val="tx1"/>
            </w14:solidFill>
          </w14:textFill>
        </w:rPr>
        <w:t>，目前地块已取得教育用地面积为87605.73m</w:t>
      </w:r>
      <w:r>
        <w:rPr>
          <w:rFonts w:hint="eastAsia" w:ascii="Times New Roman" w:hAnsi="Times New Roman" w:eastAsia="宋体" w:cs="Times New Roman"/>
          <w:color w:val="000000" w:themeColor="text1"/>
          <w:kern w:val="0"/>
          <w:sz w:val="24"/>
          <w:u w:val="none"/>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kern w:val="0"/>
          <w:sz w:val="24"/>
          <w:u w:val="none"/>
          <w:vertAlign w:val="baseline"/>
          <w:lang w:val="en-US" w:eastAsia="zh-CN"/>
          <w14:textFill>
            <w14:solidFill>
              <w14:schemeClr w14:val="tx1"/>
            </w14:solidFill>
          </w14:textFill>
        </w:rPr>
        <w:t>，其土地权属人为华弘教育服务（云浮）</w:t>
      </w:r>
      <w:r>
        <w:rPr>
          <w:rFonts w:hint="eastAsia" w:ascii="Times New Roman" w:hAnsi="Times New Roman" w:eastAsia="宋体" w:cs="Times New Roman"/>
          <w:color w:val="000000" w:themeColor="text1"/>
          <w:kern w:val="0"/>
          <w:sz w:val="24"/>
          <w:u w:val="none"/>
          <w:lang w:val="en-US" w:eastAsia="zh-CN"/>
          <w14:textFill>
            <w14:solidFill>
              <w14:schemeClr w14:val="tx1"/>
            </w14:solidFill>
          </w14:textFill>
        </w:rPr>
        <w:t>有限公司</w:t>
      </w:r>
      <w:r>
        <w:rPr>
          <w:rFonts w:hint="eastAsia" w:ascii="Times New Roman" w:hAnsi="Times New Roman" w:eastAsia="宋体" w:cs="Times New Roman"/>
          <w:color w:val="000000" w:themeColor="text1"/>
          <w:kern w:val="0"/>
          <w:sz w:val="24"/>
          <w:u w:val="none"/>
          <w:vertAlign w:val="baseline"/>
          <w:lang w:val="en-US" w:eastAsia="zh-CN"/>
          <w14:textFill>
            <w14:solidFill>
              <w14:schemeClr w14:val="tx1"/>
            </w14:solidFill>
          </w14:textFill>
        </w:rPr>
        <w:t>；剩余</w:t>
      </w:r>
      <w:r>
        <w:rPr>
          <w:rFonts w:hint="eastAsia" w:ascii="Times New Roman" w:hAnsi="Times New Roman" w:eastAsia="宋体" w:cs="Times New Roman"/>
          <w:color w:val="000000" w:themeColor="text1"/>
          <w:kern w:val="0"/>
          <w:sz w:val="24"/>
          <w:u w:val="none"/>
          <w:lang w:val="en-US" w:eastAsia="zh-CN"/>
          <w14:textFill>
            <w14:solidFill>
              <w14:schemeClr w14:val="tx1"/>
            </w14:solidFill>
          </w14:textFill>
        </w:rPr>
        <w:t>110445.48m</w:t>
      </w:r>
      <w:r>
        <w:rPr>
          <w:rFonts w:hint="eastAsia" w:ascii="Times New Roman" w:hAnsi="Times New Roman" w:eastAsia="宋体" w:cs="Times New Roman"/>
          <w:color w:val="000000" w:themeColor="text1"/>
          <w:kern w:val="0"/>
          <w:sz w:val="24"/>
          <w:u w:val="none"/>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kern w:val="0"/>
          <w:sz w:val="24"/>
          <w:u w:val="none"/>
          <w:vertAlign w:val="baseline"/>
          <w:lang w:val="en-US" w:eastAsia="zh-CN"/>
          <w14:textFill>
            <w14:solidFill>
              <w14:schemeClr w14:val="tx1"/>
            </w14:solidFill>
          </w14:textFill>
        </w:rPr>
        <w:t>为文体用地，其土地权属人为云浮市云城区人民政府。但根据</w:t>
      </w:r>
      <w:r>
        <w:rPr>
          <w:rFonts w:hint="eastAsia" w:ascii="Times New Roman" w:hAnsi="Times New Roman" w:eastAsia="宋体" w:cs="Times New Roman"/>
          <w:color w:val="000000" w:themeColor="text1"/>
          <w:kern w:val="0"/>
          <w:sz w:val="24"/>
          <w:u w:val="none"/>
          <w:lang w:val="en-US" w:eastAsia="zh-CN"/>
          <w14:textFill>
            <w14:solidFill>
              <w14:schemeClr w14:val="tx1"/>
            </w14:solidFill>
          </w14:textFill>
        </w:rPr>
        <w:t>《&lt;投资办学协议书&gt;之文化体育公园建设协议书》双方的约定，云浮市云城区人民政府同意在文化体育公园建成后由乙方同意管理使用，文体公园分区域、分时段两种方式对文化体育公园进行开放管理，管理使用期限原则上与茶山地块出让的教育用地使用期限保持一致，目标地块内110445.48m</w:t>
      </w:r>
      <w:r>
        <w:rPr>
          <w:rFonts w:hint="eastAsia" w:ascii="Times New Roman" w:hAnsi="Times New Roman" w:eastAsia="宋体" w:cs="Times New Roman"/>
          <w:color w:val="000000" w:themeColor="text1"/>
          <w:kern w:val="0"/>
          <w:sz w:val="24"/>
          <w:u w:val="none"/>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kern w:val="0"/>
          <w:sz w:val="24"/>
          <w:u w:val="none"/>
          <w:vertAlign w:val="baseline"/>
          <w:lang w:val="en-US" w:eastAsia="zh-CN"/>
          <w14:textFill>
            <w14:solidFill>
              <w14:schemeClr w14:val="tx1"/>
            </w14:solidFill>
          </w14:textFill>
        </w:rPr>
        <w:t>的文体用地范围其权属虽然不属于华弘教育服务（云浮）</w:t>
      </w:r>
      <w:r>
        <w:rPr>
          <w:rFonts w:hint="eastAsia" w:ascii="Times New Roman" w:hAnsi="Times New Roman" w:eastAsia="宋体" w:cs="Times New Roman"/>
          <w:color w:val="000000" w:themeColor="text1"/>
          <w:kern w:val="0"/>
          <w:sz w:val="24"/>
          <w:u w:val="none"/>
          <w:lang w:val="en-US" w:eastAsia="zh-CN"/>
          <w14:textFill>
            <w14:solidFill>
              <w14:schemeClr w14:val="tx1"/>
            </w14:solidFill>
          </w14:textFill>
        </w:rPr>
        <w:t>有限公司，但其使用和管理权在</w:t>
      </w:r>
      <w:r>
        <w:rPr>
          <w:rFonts w:hint="eastAsia" w:ascii="Times New Roman" w:hAnsi="Times New Roman" w:eastAsia="宋体" w:cs="Times New Roman"/>
          <w:color w:val="000000" w:themeColor="text1"/>
          <w:kern w:val="0"/>
          <w:sz w:val="24"/>
          <w:u w:val="none"/>
          <w:vertAlign w:val="baseline"/>
          <w:lang w:val="en-US" w:eastAsia="zh-CN"/>
          <w14:textFill>
            <w14:solidFill>
              <w14:schemeClr w14:val="tx1"/>
            </w14:solidFill>
          </w14:textFill>
        </w:rPr>
        <w:t>华弘教育服务（云浮）</w:t>
      </w:r>
      <w:r>
        <w:rPr>
          <w:rFonts w:hint="eastAsia" w:ascii="Times New Roman" w:hAnsi="Times New Roman" w:eastAsia="宋体" w:cs="Times New Roman"/>
          <w:color w:val="000000" w:themeColor="text1"/>
          <w:kern w:val="0"/>
          <w:sz w:val="24"/>
          <w:u w:val="none"/>
          <w:lang w:val="en-US" w:eastAsia="zh-CN"/>
          <w14:textFill>
            <w14:solidFill>
              <w14:schemeClr w14:val="tx1"/>
            </w14:solidFill>
          </w14:textFill>
        </w:rPr>
        <w:t>有限公司，该地块相关开发和经营管理的权利义务需由</w:t>
      </w:r>
      <w:r>
        <w:rPr>
          <w:rFonts w:hint="eastAsia" w:ascii="Times New Roman" w:hAnsi="Times New Roman" w:eastAsia="宋体" w:cs="Times New Roman"/>
          <w:color w:val="000000" w:themeColor="text1"/>
          <w:kern w:val="0"/>
          <w:sz w:val="24"/>
          <w:u w:val="none"/>
          <w:vertAlign w:val="baseline"/>
          <w:lang w:val="en-US" w:eastAsia="zh-CN"/>
          <w14:textFill>
            <w14:solidFill>
              <w14:schemeClr w14:val="tx1"/>
            </w14:solidFill>
          </w14:textFill>
        </w:rPr>
        <w:t>华弘教育服务（云浮）</w:t>
      </w:r>
      <w:r>
        <w:rPr>
          <w:rFonts w:hint="eastAsia" w:ascii="Times New Roman" w:hAnsi="Times New Roman" w:eastAsia="宋体" w:cs="Times New Roman"/>
          <w:color w:val="000000" w:themeColor="text1"/>
          <w:kern w:val="0"/>
          <w:sz w:val="24"/>
          <w:u w:val="none"/>
          <w:lang w:val="en-US" w:eastAsia="zh-CN"/>
          <w14:textFill>
            <w14:solidFill>
              <w14:schemeClr w14:val="tx1"/>
            </w14:solidFill>
          </w14:textFill>
        </w:rPr>
        <w:t>有限公司承担。</w:t>
      </w:r>
    </w:p>
    <w:p>
      <w:pPr>
        <w:ind w:firstLine="480"/>
        <w:rPr>
          <w:color w:val="000000" w:themeColor="text1"/>
          <w:u w:val="none"/>
          <w14:textFill>
            <w14:solidFill>
              <w14:schemeClr w14:val="tx1"/>
            </w14:solidFill>
          </w14:textFill>
        </w:rPr>
      </w:pPr>
      <w:r>
        <w:rPr>
          <w:color w:val="000000" w:themeColor="text1"/>
          <w:u w:val="none"/>
          <w14:textFill>
            <w14:solidFill>
              <w14:schemeClr w14:val="tx1"/>
            </w14:solidFill>
          </w14:textFill>
        </w:rPr>
        <w:t>202</w:t>
      </w:r>
      <w:r>
        <w:rPr>
          <w:rFonts w:hint="eastAsia"/>
          <w:color w:val="000000" w:themeColor="text1"/>
          <w:u w:val="none"/>
          <w:lang w:val="en-US" w:eastAsia="zh-CN"/>
          <w14:textFill>
            <w14:solidFill>
              <w14:schemeClr w14:val="tx1"/>
            </w14:solidFill>
          </w14:textFill>
        </w:rPr>
        <w:t>2</w:t>
      </w:r>
      <w:r>
        <w:rPr>
          <w:color w:val="000000" w:themeColor="text1"/>
          <w:u w:val="none"/>
          <w14:textFill>
            <w14:solidFill>
              <w14:schemeClr w14:val="tx1"/>
            </w14:solidFill>
          </w14:textFill>
        </w:rPr>
        <w:t>年</w:t>
      </w:r>
      <w:r>
        <w:rPr>
          <w:rFonts w:hint="eastAsia"/>
          <w:color w:val="000000" w:themeColor="text1"/>
          <w:u w:val="none"/>
          <w:lang w:val="en-US" w:eastAsia="zh-CN"/>
          <w14:textFill>
            <w14:solidFill>
              <w14:schemeClr w14:val="tx1"/>
            </w14:solidFill>
          </w14:textFill>
        </w:rPr>
        <w:t>4</w:t>
      </w:r>
      <w:r>
        <w:rPr>
          <w:color w:val="000000" w:themeColor="text1"/>
          <w:u w:val="none"/>
          <w14:textFill>
            <w14:solidFill>
              <w14:schemeClr w14:val="tx1"/>
            </w14:solidFill>
          </w14:textFill>
        </w:rPr>
        <w:t>月受</w:t>
      </w:r>
      <w:r>
        <w:rPr>
          <w:rFonts w:hint="eastAsia"/>
          <w:color w:val="000000" w:themeColor="text1"/>
          <w:u w:val="none"/>
          <w14:textFill>
            <w14:solidFill>
              <w14:schemeClr w14:val="tx1"/>
            </w14:solidFill>
          </w14:textFill>
        </w:rPr>
        <w:t>华弘教育服务（云浮）有限公司</w:t>
      </w:r>
      <w:r>
        <w:rPr>
          <w:color w:val="000000" w:themeColor="text1"/>
          <w:u w:val="none"/>
          <w14:textFill>
            <w14:solidFill>
              <w14:schemeClr w14:val="tx1"/>
            </w14:solidFill>
          </w14:textFill>
        </w:rPr>
        <w:t>委托，广东禹洋环保工程有限公司承担了该地块</w:t>
      </w:r>
      <w:r>
        <w:rPr>
          <w:bCs/>
          <w:color w:val="000000" w:themeColor="text1"/>
          <w:u w:val="none"/>
          <w14:textFill>
            <w14:solidFill>
              <w14:schemeClr w14:val="tx1"/>
            </w14:solidFill>
          </w14:textFill>
        </w:rPr>
        <w:t>土壤污染状况调查</w:t>
      </w:r>
      <w:r>
        <w:rPr>
          <w:color w:val="000000" w:themeColor="text1"/>
          <w:u w:val="none"/>
          <w14:textFill>
            <w14:solidFill>
              <w14:schemeClr w14:val="tx1"/>
            </w14:solidFill>
          </w14:textFill>
        </w:rPr>
        <w:t>工作。</w:t>
      </w:r>
    </w:p>
    <w:p>
      <w:pPr>
        <w:ind w:firstLine="480"/>
        <w:rPr>
          <w:color w:val="000000" w:themeColor="text1"/>
          <w:u w:val="none"/>
          <w14:textFill>
            <w14:solidFill>
              <w14:schemeClr w14:val="tx1"/>
            </w14:solidFill>
          </w14:textFill>
        </w:rPr>
      </w:pPr>
      <w:r>
        <w:rPr>
          <w:color w:val="000000" w:themeColor="text1"/>
          <w:u w:val="none"/>
          <w14:textFill>
            <w14:solidFill>
              <w14:schemeClr w14:val="tx1"/>
            </w14:solidFill>
          </w14:textFill>
        </w:rPr>
        <w:t>项目承担方于202</w:t>
      </w:r>
      <w:r>
        <w:rPr>
          <w:rFonts w:hint="eastAsia"/>
          <w:color w:val="000000" w:themeColor="text1"/>
          <w:u w:val="none"/>
          <w:lang w:val="en-US" w:eastAsia="zh-CN"/>
          <w14:textFill>
            <w14:solidFill>
              <w14:schemeClr w14:val="tx1"/>
            </w14:solidFill>
          </w14:textFill>
        </w:rPr>
        <w:t>2</w:t>
      </w:r>
      <w:r>
        <w:rPr>
          <w:color w:val="000000" w:themeColor="text1"/>
          <w:u w:val="none"/>
          <w14:textFill>
            <w14:solidFill>
              <w14:schemeClr w14:val="tx1"/>
            </w14:solidFill>
          </w14:textFill>
        </w:rPr>
        <w:t>年</w:t>
      </w:r>
      <w:r>
        <w:rPr>
          <w:rFonts w:hint="eastAsia"/>
          <w:color w:val="000000" w:themeColor="text1"/>
          <w:u w:val="none"/>
          <w:lang w:val="en-US" w:eastAsia="zh-CN"/>
          <w14:textFill>
            <w14:solidFill>
              <w14:schemeClr w14:val="tx1"/>
            </w14:solidFill>
          </w14:textFill>
        </w:rPr>
        <w:t>4</w:t>
      </w:r>
      <w:r>
        <w:rPr>
          <w:color w:val="000000" w:themeColor="text1"/>
          <w:u w:val="none"/>
          <w14:textFill>
            <w14:solidFill>
              <w14:schemeClr w14:val="tx1"/>
            </w14:solidFill>
          </w14:textFill>
        </w:rPr>
        <w:t>月至202</w:t>
      </w:r>
      <w:r>
        <w:rPr>
          <w:rFonts w:hint="eastAsia"/>
          <w:color w:val="000000" w:themeColor="text1"/>
          <w:u w:val="none"/>
          <w:lang w:val="en-US" w:eastAsia="zh-CN"/>
          <w14:textFill>
            <w14:solidFill>
              <w14:schemeClr w14:val="tx1"/>
            </w14:solidFill>
          </w14:textFill>
        </w:rPr>
        <w:t>2</w:t>
      </w:r>
      <w:r>
        <w:rPr>
          <w:color w:val="000000" w:themeColor="text1"/>
          <w:u w:val="none"/>
          <w14:textFill>
            <w14:solidFill>
              <w14:schemeClr w14:val="tx1"/>
            </w14:solidFill>
          </w14:textFill>
        </w:rPr>
        <w:t>年</w:t>
      </w:r>
      <w:r>
        <w:rPr>
          <w:rFonts w:hint="eastAsia"/>
          <w:color w:val="000000" w:themeColor="text1"/>
          <w:u w:val="none"/>
          <w:lang w:val="en-US" w:eastAsia="zh-CN"/>
          <w14:textFill>
            <w14:solidFill>
              <w14:schemeClr w14:val="tx1"/>
            </w14:solidFill>
          </w14:textFill>
        </w:rPr>
        <w:t>8</w:t>
      </w:r>
      <w:r>
        <w:rPr>
          <w:color w:val="000000" w:themeColor="text1"/>
          <w:u w:val="none"/>
          <w14:textFill>
            <w14:solidFill>
              <w14:schemeClr w14:val="tx1"/>
            </w14:solidFill>
          </w14:textFill>
        </w:rPr>
        <w:t>月间对目标地块进行了</w:t>
      </w:r>
      <w:r>
        <w:rPr>
          <w:bCs/>
          <w:color w:val="000000" w:themeColor="text1"/>
          <w:u w:val="none"/>
          <w14:textFill>
            <w14:solidFill>
              <w14:schemeClr w14:val="tx1"/>
            </w14:solidFill>
          </w14:textFill>
        </w:rPr>
        <w:t>土壤污染状况调查</w:t>
      </w:r>
      <w:r>
        <w:rPr>
          <w:color w:val="000000" w:themeColor="text1"/>
          <w:u w:val="none"/>
          <w14:textFill>
            <w14:solidFill>
              <w14:schemeClr w14:val="tx1"/>
            </w14:solidFill>
          </w14:textFill>
        </w:rPr>
        <w:t>工作。本项目分为第一阶段</w:t>
      </w:r>
      <w:r>
        <w:rPr>
          <w:bCs/>
          <w:color w:val="000000" w:themeColor="text1"/>
          <w:u w:val="none"/>
          <w14:textFill>
            <w14:solidFill>
              <w14:schemeClr w14:val="tx1"/>
            </w14:solidFill>
          </w14:textFill>
        </w:rPr>
        <w:t>土壤污染状况调查</w:t>
      </w:r>
      <w:r>
        <w:rPr>
          <w:color w:val="000000" w:themeColor="text1"/>
          <w:u w:val="none"/>
          <w14:textFill>
            <w14:solidFill>
              <w14:schemeClr w14:val="tx1"/>
            </w14:solidFill>
          </w14:textFill>
        </w:rPr>
        <w:t>和第二阶段</w:t>
      </w:r>
      <w:r>
        <w:rPr>
          <w:bCs/>
          <w:color w:val="000000" w:themeColor="text1"/>
          <w:u w:val="none"/>
          <w14:textFill>
            <w14:solidFill>
              <w14:schemeClr w14:val="tx1"/>
            </w14:solidFill>
          </w14:textFill>
        </w:rPr>
        <w:t>土壤污染状况调查</w:t>
      </w:r>
      <w:r>
        <w:rPr>
          <w:color w:val="000000" w:themeColor="text1"/>
          <w:u w:val="none"/>
          <w14:textFill>
            <w14:solidFill>
              <w14:schemeClr w14:val="tx1"/>
            </w14:solidFill>
          </w14:textFill>
        </w:rPr>
        <w:t>两个阶段实施。</w:t>
      </w:r>
    </w:p>
    <w:p>
      <w:pPr>
        <w:widowControl/>
        <w:ind w:firstLine="480"/>
        <w:jc w:val="left"/>
        <w:rPr>
          <w:color w:val="000000" w:themeColor="text1"/>
          <w:kern w:val="0"/>
          <w:u w:val="none"/>
          <w:lang w:bidi="ar"/>
          <w14:textFill>
            <w14:solidFill>
              <w14:schemeClr w14:val="tx1"/>
            </w14:solidFill>
          </w14:textFill>
        </w:rPr>
      </w:pPr>
      <w:r>
        <w:rPr>
          <w:color w:val="000000" w:themeColor="text1"/>
          <w:u w:val="none"/>
          <w14:textFill>
            <w14:solidFill>
              <w14:schemeClr w14:val="tx1"/>
            </w14:solidFill>
          </w14:textFill>
        </w:rPr>
        <w:t>在第一阶段</w:t>
      </w:r>
      <w:r>
        <w:rPr>
          <w:bCs/>
          <w:color w:val="000000" w:themeColor="text1"/>
          <w:u w:val="none"/>
          <w14:textFill>
            <w14:solidFill>
              <w14:schemeClr w14:val="tx1"/>
            </w14:solidFill>
          </w14:textFill>
        </w:rPr>
        <w:t>土壤污染状况调查</w:t>
      </w:r>
      <w:r>
        <w:rPr>
          <w:color w:val="000000" w:themeColor="text1"/>
          <w:u w:val="none"/>
          <w14:textFill>
            <w14:solidFill>
              <w14:schemeClr w14:val="tx1"/>
            </w14:solidFill>
          </w14:textFill>
        </w:rPr>
        <w:t>期间，项目组通过资料收集和审阅、现场踏勘、调查采访等方式对目标地块及其周边进行了详细分析和污染识别。确定调查地块潜在的特征污染物种类主要为</w:t>
      </w:r>
      <w:r>
        <w:rPr>
          <w:rFonts w:hint="eastAsia" w:eastAsia="宋体" w:cs="Times New Roman"/>
          <w:color w:val="000000" w:themeColor="text1"/>
          <w:u w:val="none"/>
          <w:lang w:val="en-US" w:eastAsia="zh-CN"/>
          <w14:textFill>
            <w14:solidFill>
              <w14:schemeClr w14:val="tx1"/>
            </w14:solidFill>
          </w14:textFill>
        </w:rPr>
        <w:t>镉、铬(六价)、铅、镍、砷、锌、苯、甲苯、乙苯、二甲苯、苯乙烯、石油烃(C</w:t>
      </w:r>
      <w:r>
        <w:rPr>
          <w:rFonts w:hint="eastAsia" w:eastAsia="宋体" w:cs="Times New Roman"/>
          <w:color w:val="000000" w:themeColor="text1"/>
          <w:u w:val="none"/>
          <w:vertAlign w:val="subscript"/>
          <w:lang w:val="en-US" w:eastAsia="zh-CN"/>
          <w14:textFill>
            <w14:solidFill>
              <w14:schemeClr w14:val="tx1"/>
            </w14:solidFill>
          </w14:textFill>
        </w:rPr>
        <w:t>10</w:t>
      </w:r>
      <w:r>
        <w:rPr>
          <w:rFonts w:hint="eastAsia" w:eastAsia="宋体" w:cs="Times New Roman"/>
          <w:color w:val="000000" w:themeColor="text1"/>
          <w:u w:val="none"/>
          <w:lang w:val="en-US" w:eastAsia="zh-CN"/>
          <w14:textFill>
            <w14:solidFill>
              <w14:schemeClr w14:val="tx1"/>
            </w14:solidFill>
          </w14:textFill>
        </w:rPr>
        <w:t>-C</w:t>
      </w:r>
      <w:r>
        <w:rPr>
          <w:rFonts w:hint="eastAsia" w:eastAsia="宋体" w:cs="Times New Roman"/>
          <w:color w:val="000000" w:themeColor="text1"/>
          <w:u w:val="none"/>
          <w:vertAlign w:val="subscript"/>
          <w:lang w:val="en-US" w:eastAsia="zh-CN"/>
          <w14:textFill>
            <w14:solidFill>
              <w14:schemeClr w14:val="tx1"/>
            </w14:solidFill>
          </w14:textFill>
        </w:rPr>
        <w:t>40</w:t>
      </w:r>
      <w:r>
        <w:rPr>
          <w:rFonts w:hint="eastAsia" w:eastAsia="宋体" w:cs="Times New Roman"/>
          <w:color w:val="000000" w:themeColor="text1"/>
          <w:u w:val="none"/>
          <w:lang w:val="en-US" w:eastAsia="zh-CN"/>
          <w14:textFill>
            <w14:solidFill>
              <w14:schemeClr w14:val="tx1"/>
            </w14:solidFill>
          </w14:textFill>
        </w:rPr>
        <w:t>)</w:t>
      </w:r>
      <w:r>
        <w:rPr>
          <w:color w:val="000000" w:themeColor="text1"/>
          <w:kern w:val="0"/>
          <w:u w:val="none"/>
          <w:lang w:bidi="ar"/>
          <w14:textFill>
            <w14:solidFill>
              <w14:schemeClr w14:val="tx1"/>
            </w14:solidFill>
          </w14:textFill>
        </w:rPr>
        <w:t>，主要的污染物及潜在污染途径包括：</w:t>
      </w:r>
    </w:p>
    <w:p>
      <w:pPr>
        <w:widowControl/>
        <w:numPr>
          <w:ilvl w:val="0"/>
          <w:numId w:val="1"/>
        </w:numPr>
        <w:ind w:left="0" w:firstLine="48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建筑石料堆放区域</w:t>
      </w:r>
      <w:r>
        <w:rPr>
          <w:rFonts w:hint="eastAsia"/>
          <w:color w:val="000000" w:themeColor="text1"/>
          <w:u w:val="none"/>
          <w:lang w:eastAsia="zh-CN"/>
          <w14:textFill>
            <w14:solidFill>
              <w14:schemeClr w14:val="tx1"/>
            </w14:solidFill>
          </w14:textFill>
        </w:rPr>
        <w:t>：</w:t>
      </w:r>
      <w:r>
        <w:rPr>
          <w:rFonts w:hint="eastAsia"/>
          <w:color w:val="000000" w:themeColor="text1"/>
          <w:u w:val="none"/>
          <w14:textFill>
            <w14:solidFill>
              <w14:schemeClr w14:val="tx1"/>
            </w14:solidFill>
          </w14:textFill>
        </w:rPr>
        <w:t>建筑石料堆放时间较长，以及装卸、运输车辆进出地块且地块东侧存在汽车临时维修保养的情况，可能对地块土壤、地下水产生影响</w:t>
      </w:r>
      <w:r>
        <w:rPr>
          <w:color w:val="000000" w:themeColor="text1"/>
          <w:u w:val="none"/>
          <w14:textFill>
            <w14:solidFill>
              <w14:schemeClr w14:val="tx1"/>
            </w14:solidFill>
          </w14:textFill>
        </w:rPr>
        <w:t>，关注</w:t>
      </w:r>
      <w:r>
        <w:rPr>
          <w:rFonts w:hint="default" w:ascii="Times New Roman" w:hAnsi="Times New Roman" w:eastAsia="宋体"/>
          <w:color w:val="000000" w:themeColor="text1"/>
          <w:sz w:val="24"/>
          <w:szCs w:val="24"/>
          <w:u w:val="none"/>
          <w14:textFill>
            <w14:solidFill>
              <w14:schemeClr w14:val="tx1"/>
            </w14:solidFill>
          </w14:textFill>
        </w:rPr>
        <w:t>砷、铬(六价)、镉、铅、汞、铜、锌、pH、氟化物、石油烃(C</w:t>
      </w:r>
      <w:r>
        <w:rPr>
          <w:rFonts w:hint="default" w:ascii="Times New Roman" w:hAnsi="Times New Roman" w:eastAsia="宋体"/>
          <w:color w:val="000000" w:themeColor="text1"/>
          <w:sz w:val="24"/>
          <w:szCs w:val="24"/>
          <w:u w:val="none"/>
          <w:vertAlign w:val="subscript"/>
          <w14:textFill>
            <w14:solidFill>
              <w14:schemeClr w14:val="tx1"/>
            </w14:solidFill>
          </w14:textFill>
        </w:rPr>
        <w:t>10</w:t>
      </w:r>
      <w:r>
        <w:rPr>
          <w:rFonts w:hint="default" w:ascii="Times New Roman" w:hAnsi="Times New Roman" w:eastAsia="宋体"/>
          <w:color w:val="000000" w:themeColor="text1"/>
          <w:sz w:val="24"/>
          <w:szCs w:val="24"/>
          <w:u w:val="none"/>
          <w14:textFill>
            <w14:solidFill>
              <w14:schemeClr w14:val="tx1"/>
            </w14:solidFill>
          </w14:textFill>
        </w:rPr>
        <w:t>-C</w:t>
      </w:r>
      <w:r>
        <w:rPr>
          <w:rFonts w:hint="default" w:ascii="Times New Roman" w:hAnsi="Times New Roman" w:eastAsia="宋体" w:cs="Times New Roman"/>
          <w:color w:val="000000" w:themeColor="text1"/>
          <w:sz w:val="24"/>
          <w:szCs w:val="24"/>
          <w:u w:val="none"/>
          <w:vertAlign w:val="subscript"/>
          <w14:textFill>
            <w14:solidFill>
              <w14:schemeClr w14:val="tx1"/>
            </w14:solidFill>
          </w14:textFill>
        </w:rPr>
        <w:t>40</w:t>
      </w:r>
      <w:r>
        <w:rPr>
          <w:rFonts w:hint="default" w:ascii="Times New Roman" w:hAnsi="Times New Roman" w:eastAsia="宋体"/>
          <w:color w:val="000000" w:themeColor="text1"/>
          <w:sz w:val="24"/>
          <w:szCs w:val="24"/>
          <w:u w:val="none"/>
          <w14:textFill>
            <w14:solidFill>
              <w14:schemeClr w14:val="tx1"/>
            </w14:solidFill>
          </w14:textFill>
        </w:rPr>
        <w:t>)</w:t>
      </w:r>
      <w:r>
        <w:rPr>
          <w:color w:val="000000" w:themeColor="text1"/>
          <w:u w:val="none"/>
          <w14:textFill>
            <w14:solidFill>
              <w14:schemeClr w14:val="tx1"/>
            </w14:solidFill>
          </w14:textFill>
        </w:rPr>
        <w:t>。</w:t>
      </w:r>
    </w:p>
    <w:p>
      <w:pPr>
        <w:widowControl/>
        <w:numPr>
          <w:ilvl w:val="0"/>
          <w:numId w:val="1"/>
        </w:numPr>
        <w:ind w:left="0" w:firstLine="48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根据周边潜在污染源分析，</w:t>
      </w:r>
      <w:r>
        <w:rPr>
          <w:rFonts w:hint="eastAsia"/>
          <w:color w:val="000000" w:themeColor="text1"/>
          <w:u w:val="none"/>
          <w:lang w:eastAsia="zh-CN"/>
          <w14:textFill>
            <w14:solidFill>
              <w14:schemeClr w14:val="tx1"/>
            </w14:solidFill>
          </w14:textFill>
        </w:rPr>
        <w:t>主要关注</w:t>
      </w:r>
      <w:r>
        <w:rPr>
          <w:rFonts w:hint="eastAsia" w:eastAsia="宋体" w:cs="Times New Roman"/>
          <w:color w:val="000000" w:themeColor="text1"/>
          <w:u w:val="none"/>
          <w:lang w:val="en-US" w:eastAsia="zh-CN"/>
          <w14:textFill>
            <w14:solidFill>
              <w14:schemeClr w14:val="tx1"/>
            </w14:solidFill>
          </w14:textFill>
        </w:rPr>
        <w:t>云浮市宏祺汽车有限公司、云浮市盈威汽车销售服务有限公司、云浮市美利汽车销售服务有限公司、云浮市新力汽车贸易有限公司和建筑石料堆场，经污染分析，周边污染物源可能通过周边潜在污染源可能通过大气沉降、地下水迁移等方式进行污染迁移，对目标地块的土壤和地下水产生污染，重点关注：苯、甲苯、乙苯、二甲苯、苯乙烯、石油烃(C</w:t>
      </w:r>
      <w:r>
        <w:rPr>
          <w:rFonts w:hint="eastAsia" w:eastAsia="宋体" w:cs="Times New Roman"/>
          <w:color w:val="000000" w:themeColor="text1"/>
          <w:u w:val="none"/>
          <w:vertAlign w:val="subscript"/>
          <w:lang w:val="en-US" w:eastAsia="zh-CN"/>
          <w14:textFill>
            <w14:solidFill>
              <w14:schemeClr w14:val="tx1"/>
            </w14:solidFill>
          </w14:textFill>
        </w:rPr>
        <w:t>10</w:t>
      </w:r>
      <w:r>
        <w:rPr>
          <w:rFonts w:hint="eastAsia" w:eastAsia="宋体" w:cs="Times New Roman"/>
          <w:color w:val="000000" w:themeColor="text1"/>
          <w:u w:val="none"/>
          <w:lang w:val="en-US" w:eastAsia="zh-CN"/>
          <w14:textFill>
            <w14:solidFill>
              <w14:schemeClr w14:val="tx1"/>
            </w14:solidFill>
          </w14:textFill>
        </w:rPr>
        <w:t>-C</w:t>
      </w:r>
      <w:r>
        <w:rPr>
          <w:rFonts w:hint="eastAsia" w:eastAsia="宋体" w:cs="Times New Roman"/>
          <w:color w:val="000000" w:themeColor="text1"/>
          <w:u w:val="none"/>
          <w:vertAlign w:val="subscript"/>
          <w:lang w:val="en-US" w:eastAsia="zh-CN"/>
          <w14:textFill>
            <w14:solidFill>
              <w14:schemeClr w14:val="tx1"/>
            </w14:solidFill>
          </w14:textFill>
        </w:rPr>
        <w:t>40</w:t>
      </w:r>
      <w:r>
        <w:rPr>
          <w:rFonts w:hint="eastAsia" w:eastAsia="宋体" w:cs="Times New Roman"/>
          <w:color w:val="000000" w:themeColor="text1"/>
          <w:u w:val="none"/>
          <w:lang w:val="en-US" w:eastAsia="zh-CN"/>
          <w14:textFill>
            <w14:solidFill>
              <w14:schemeClr w14:val="tx1"/>
            </w14:solidFill>
          </w14:textFill>
        </w:rPr>
        <w:t>)。</w:t>
      </w:r>
    </w:p>
    <w:p>
      <w:pPr>
        <w:ind w:firstLine="480"/>
        <w:rPr>
          <w:rFonts w:hint="eastAsia" w:eastAsia="宋体"/>
          <w:color w:val="000000" w:themeColor="text1"/>
          <w:u w:val="none"/>
          <w:lang w:eastAsia="zh-CN"/>
          <w14:textFill>
            <w14:solidFill>
              <w14:schemeClr w14:val="tx1"/>
            </w14:solidFill>
          </w14:textFill>
        </w:rPr>
      </w:pPr>
      <w:r>
        <w:rPr>
          <w:rFonts w:hint="eastAsia"/>
          <w:color w:val="000000" w:themeColor="text1"/>
          <w:u w:val="none"/>
          <w14:textFill>
            <w14:solidFill>
              <w14:schemeClr w14:val="tx1"/>
            </w14:solidFill>
          </w14:textFill>
        </w:rPr>
        <w:t>结合第一阶段的调查及“实施方案”的技术评审结论，本地块</w:t>
      </w:r>
      <w:r>
        <w:rPr>
          <w:color w:val="000000" w:themeColor="text1"/>
          <w:u w:val="none"/>
          <w14:textFill>
            <w14:solidFill>
              <w14:schemeClr w14:val="tx1"/>
            </w14:solidFill>
          </w14:textFill>
        </w:rPr>
        <w:t>需要进行第二阶段的调查工作。初步调查基于《建设用地土壤污染状况调查技术导则》（HJ25.1-2019）、《广东省建设用地土壤污染状况调查、风险评估及效果评估报告技术审查要点（试行）》等要求，</w:t>
      </w:r>
      <w:r>
        <w:rPr>
          <w:rFonts w:hint="eastAsia"/>
          <w:color w:val="000000" w:themeColor="text1"/>
          <w:u w:val="none"/>
          <w:lang w:eastAsia="zh-CN"/>
          <w14:textFill>
            <w14:solidFill>
              <w14:schemeClr w14:val="tx1"/>
            </w14:solidFill>
          </w14:textFill>
        </w:rPr>
        <w:t>本次调查在</w:t>
      </w:r>
      <w:r>
        <w:rPr>
          <w:color w:val="000000" w:themeColor="text1"/>
          <w:u w:val="none"/>
          <w14:textFill>
            <w14:solidFill>
              <w14:schemeClr w14:val="tx1"/>
            </w14:solidFill>
          </w14:textFill>
        </w:rPr>
        <w:t>地块内布设土壤</w:t>
      </w:r>
      <w:r>
        <w:rPr>
          <w:rFonts w:hint="eastAsia"/>
          <w:color w:val="000000" w:themeColor="text1"/>
          <w:u w:val="none"/>
          <w:lang w:eastAsia="zh-CN"/>
          <w14:textFill>
            <w14:solidFill>
              <w14:schemeClr w14:val="tx1"/>
            </w14:solidFill>
          </w14:textFill>
        </w:rPr>
        <w:t>采样</w:t>
      </w:r>
      <w:r>
        <w:rPr>
          <w:color w:val="000000" w:themeColor="text1"/>
          <w:u w:val="none"/>
          <w14:textFill>
            <w14:solidFill>
              <w14:schemeClr w14:val="tx1"/>
            </w14:solidFill>
          </w14:textFill>
        </w:rPr>
        <w:t>点</w:t>
      </w:r>
      <w:r>
        <w:rPr>
          <w:rFonts w:hint="eastAsia"/>
          <w:color w:val="000000" w:themeColor="text1"/>
          <w:u w:val="none"/>
          <w:lang w:val="en-US" w:eastAsia="zh-CN"/>
          <w14:textFill>
            <w14:solidFill>
              <w14:schemeClr w14:val="tx1"/>
            </w14:solidFill>
          </w14:textFill>
        </w:rPr>
        <w:t>20</w:t>
      </w:r>
      <w:r>
        <w:rPr>
          <w:color w:val="000000" w:themeColor="text1"/>
          <w:u w:val="none"/>
          <w14:textFill>
            <w14:solidFill>
              <w14:schemeClr w14:val="tx1"/>
            </w14:solidFill>
          </w14:textFill>
        </w:rPr>
        <w:t>个，同时布设地下水监测井3个</w:t>
      </w:r>
      <w:r>
        <w:rPr>
          <w:rFonts w:hint="eastAsia"/>
          <w:color w:val="000000" w:themeColor="text1"/>
          <w:u w:val="none"/>
          <w:lang w:eastAsia="zh-CN"/>
          <w14:textFill>
            <w14:solidFill>
              <w14:schemeClr w14:val="tx1"/>
            </w14:solidFill>
          </w14:textFill>
        </w:rPr>
        <w:t>；</w:t>
      </w:r>
      <w:r>
        <w:rPr>
          <w:color w:val="000000" w:themeColor="text1"/>
          <w:u w:val="none"/>
          <w14:textFill>
            <w14:solidFill>
              <w14:schemeClr w14:val="tx1"/>
            </w14:solidFill>
          </w14:textFill>
        </w:rPr>
        <w:t>场外布设土壤对照点</w:t>
      </w:r>
      <w:r>
        <w:rPr>
          <w:rFonts w:hint="eastAsia"/>
          <w:color w:val="000000" w:themeColor="text1"/>
          <w:u w:val="none"/>
          <w:lang w:val="en-US" w:eastAsia="zh-CN"/>
          <w14:textFill>
            <w14:solidFill>
              <w14:schemeClr w14:val="tx1"/>
            </w14:solidFill>
          </w14:textFill>
        </w:rPr>
        <w:t>2</w:t>
      </w:r>
      <w:r>
        <w:rPr>
          <w:color w:val="000000" w:themeColor="text1"/>
          <w:u w:val="none"/>
          <w14:textFill>
            <w14:solidFill>
              <w14:schemeClr w14:val="tx1"/>
            </w14:solidFill>
          </w14:textFill>
        </w:rPr>
        <w:t>个</w:t>
      </w:r>
      <w:r>
        <w:rPr>
          <w:rFonts w:hint="eastAsia"/>
          <w:color w:val="000000" w:themeColor="text1"/>
          <w:u w:val="none"/>
          <w:lang w:eastAsia="zh-CN"/>
          <w14:textFill>
            <w14:solidFill>
              <w14:schemeClr w14:val="tx1"/>
            </w14:solidFill>
          </w14:textFill>
        </w:rPr>
        <w:t>，</w:t>
      </w:r>
      <w:r>
        <w:rPr>
          <w:rFonts w:hint="eastAsia"/>
          <w:color w:val="000000" w:themeColor="text1"/>
          <w:u w:val="none"/>
          <w:lang w:val="en-US" w:eastAsia="zh-CN"/>
          <w14:textFill>
            <w14:solidFill>
              <w14:schemeClr w14:val="tx1"/>
            </w14:solidFill>
          </w14:textFill>
        </w:rPr>
        <w:t>3个外运土的土壤采样点</w:t>
      </w:r>
      <w:r>
        <w:rPr>
          <w:rFonts w:hint="eastAsia"/>
          <w:color w:val="000000" w:themeColor="text1"/>
          <w:u w:val="none"/>
          <w:lang w:eastAsia="zh-CN"/>
          <w14:textFill>
            <w14:solidFill>
              <w14:schemeClr w14:val="tx1"/>
            </w14:solidFill>
          </w14:textFill>
        </w:rPr>
        <w:t>；地块内、背景点和外运土堆放区域合计</w:t>
      </w:r>
      <w:r>
        <w:rPr>
          <w:color w:val="000000" w:themeColor="text1"/>
          <w:u w:val="none"/>
          <w14:textFill>
            <w14:solidFill>
              <w14:schemeClr w14:val="tx1"/>
            </w14:solidFill>
          </w14:textFill>
        </w:rPr>
        <w:t>采集</w:t>
      </w:r>
      <w:r>
        <w:rPr>
          <w:rFonts w:hint="eastAsia"/>
          <w:color w:val="000000" w:themeColor="text1"/>
          <w:u w:val="none"/>
          <w:lang w:val="en-US" w:eastAsia="zh-CN"/>
          <w14:textFill>
            <w14:solidFill>
              <w14:schemeClr w14:val="tx1"/>
            </w14:solidFill>
          </w14:textFill>
        </w:rPr>
        <w:t>35</w:t>
      </w:r>
      <w:r>
        <w:rPr>
          <w:color w:val="000000" w:themeColor="text1"/>
          <w:u w:val="none"/>
          <w14:textFill>
            <w14:solidFill>
              <w14:schemeClr w14:val="tx1"/>
            </w14:solidFill>
          </w14:textFill>
        </w:rPr>
        <w:t>个土壤样品（</w:t>
      </w:r>
      <w:r>
        <w:rPr>
          <w:rFonts w:hint="eastAsia"/>
          <w:color w:val="000000" w:themeColor="text1"/>
          <w:u w:val="none"/>
          <w:lang w:eastAsia="zh-CN"/>
          <w14:textFill>
            <w14:solidFill>
              <w14:schemeClr w14:val="tx1"/>
            </w14:solidFill>
          </w14:textFill>
        </w:rPr>
        <w:t>不</w:t>
      </w:r>
      <w:r>
        <w:rPr>
          <w:color w:val="000000" w:themeColor="text1"/>
          <w:u w:val="none"/>
          <w14:textFill>
            <w14:solidFill>
              <w14:schemeClr w14:val="tx1"/>
            </w14:solidFill>
          </w14:textFill>
        </w:rPr>
        <w:t>含平行</w:t>
      </w:r>
      <w:r>
        <w:rPr>
          <w:rFonts w:hint="eastAsia"/>
          <w:color w:val="000000" w:themeColor="text1"/>
          <w:u w:val="none"/>
          <w:lang w:eastAsia="zh-CN"/>
          <w14:textFill>
            <w14:solidFill>
              <w14:schemeClr w14:val="tx1"/>
            </w14:solidFill>
          </w14:textFill>
        </w:rPr>
        <w:t>样品</w:t>
      </w:r>
      <w:r>
        <w:rPr>
          <w:color w:val="000000" w:themeColor="text1"/>
          <w:u w:val="none"/>
          <w14:textFill>
            <w14:solidFill>
              <w14:schemeClr w14:val="tx1"/>
            </w14:solidFill>
          </w14:textFill>
        </w:rPr>
        <w:t>）和</w:t>
      </w:r>
      <w:r>
        <w:rPr>
          <w:rFonts w:hint="eastAsia"/>
          <w:color w:val="000000" w:themeColor="text1"/>
          <w:u w:val="none"/>
          <w14:textFill>
            <w14:solidFill>
              <w14:schemeClr w14:val="tx1"/>
            </w14:solidFill>
          </w14:textFill>
        </w:rPr>
        <w:t>3</w:t>
      </w:r>
      <w:r>
        <w:rPr>
          <w:color w:val="000000" w:themeColor="text1"/>
          <w:u w:val="none"/>
          <w14:textFill>
            <w14:solidFill>
              <w14:schemeClr w14:val="tx1"/>
            </w14:solidFill>
          </w14:textFill>
        </w:rPr>
        <w:t>个地下水样品。土壤监测项目包括基础项目（pH、水分）、重金属（7项）、VOCs（27项）、SVOCs（11项），以及其他特征污染项目</w:t>
      </w:r>
      <w:r>
        <w:rPr>
          <w:rFonts w:hint="eastAsia"/>
          <w:color w:val="000000" w:themeColor="text1"/>
          <w:u w:val="none"/>
          <w14:textFill>
            <w14:solidFill>
              <w14:schemeClr w14:val="tx1"/>
            </w14:solidFill>
          </w14:textFill>
        </w:rPr>
        <w:t>石油烃（C</w:t>
      </w:r>
      <w:r>
        <w:rPr>
          <w:rFonts w:hint="eastAsia"/>
          <w:color w:val="000000" w:themeColor="text1"/>
          <w:u w:val="none"/>
          <w:vertAlign w:val="subscript"/>
          <w14:textFill>
            <w14:solidFill>
              <w14:schemeClr w14:val="tx1"/>
            </w14:solidFill>
          </w14:textFill>
        </w:rPr>
        <w:t>10</w:t>
      </w:r>
      <w:r>
        <w:rPr>
          <w:rFonts w:hint="eastAsia"/>
          <w:color w:val="000000" w:themeColor="text1"/>
          <w:u w:val="none"/>
          <w14:textFill>
            <w14:solidFill>
              <w14:schemeClr w14:val="tx1"/>
            </w14:solidFill>
          </w14:textFill>
        </w:rPr>
        <w:t>-C</w:t>
      </w:r>
      <w:r>
        <w:rPr>
          <w:rFonts w:hint="eastAsia"/>
          <w:color w:val="000000" w:themeColor="text1"/>
          <w:u w:val="none"/>
          <w:vertAlign w:val="subscript"/>
          <w14:textFill>
            <w14:solidFill>
              <w14:schemeClr w14:val="tx1"/>
            </w14:solidFill>
          </w14:textFill>
        </w:rPr>
        <w:t>40</w:t>
      </w:r>
      <w:r>
        <w:rPr>
          <w:rFonts w:hint="eastAsia"/>
          <w:color w:val="000000" w:themeColor="text1"/>
          <w:u w:val="none"/>
          <w14:textFill>
            <w14:solidFill>
              <w14:schemeClr w14:val="tx1"/>
            </w14:solidFill>
          </w14:textFill>
        </w:rPr>
        <w:t>）、氟化物</w:t>
      </w:r>
      <w:r>
        <w:rPr>
          <w:rFonts w:hint="eastAsia"/>
          <w:color w:val="000000" w:themeColor="text1"/>
          <w:u w:val="none"/>
          <w:lang w:eastAsia="zh-CN"/>
          <w14:textFill>
            <w14:solidFill>
              <w14:schemeClr w14:val="tx1"/>
            </w14:solidFill>
          </w14:textFill>
        </w:rPr>
        <w:t>和</w:t>
      </w:r>
      <w:r>
        <w:rPr>
          <w:rFonts w:hint="eastAsia"/>
          <w:color w:val="000000" w:themeColor="text1"/>
          <w:u w:val="none"/>
          <w14:textFill>
            <w14:solidFill>
              <w14:schemeClr w14:val="tx1"/>
            </w14:solidFill>
          </w14:textFill>
        </w:rPr>
        <w:t>锌</w:t>
      </w:r>
      <w:r>
        <w:rPr>
          <w:color w:val="000000" w:themeColor="text1"/>
          <w:kern w:val="0"/>
          <w:u w:val="none"/>
          <w:lang w:bidi="ar"/>
          <w14:textFill>
            <w14:solidFill>
              <w14:schemeClr w14:val="tx1"/>
            </w14:solidFill>
          </w14:textFill>
        </w:rPr>
        <w:t>；地下水检测项目包括：</w:t>
      </w:r>
      <w:r>
        <w:rPr>
          <w:rFonts w:hint="eastAsia" w:ascii="Times New Roman" w:hAnsi="Times New Roman"/>
          <w:color w:val="000000" w:themeColor="text1"/>
          <w:sz w:val="24"/>
          <w:u w:val="none"/>
          <w14:textFill>
            <w14:solidFill>
              <w14:schemeClr w14:val="tx1"/>
            </w14:solidFill>
          </w14:textFill>
        </w:rPr>
        <w:t>pH、浑浊度</w:t>
      </w:r>
      <w:r>
        <w:rPr>
          <w:rFonts w:hint="eastAsia"/>
          <w:color w:val="000000" w:themeColor="text1"/>
          <w:sz w:val="24"/>
          <w:u w:val="none"/>
          <w:lang w:eastAsia="zh-CN"/>
          <w14:textFill>
            <w14:solidFill>
              <w14:schemeClr w14:val="tx1"/>
            </w14:solidFill>
          </w14:textFill>
        </w:rPr>
        <w:t>、</w:t>
      </w:r>
      <w:r>
        <w:rPr>
          <w:rFonts w:hint="eastAsia" w:ascii="Times New Roman" w:hAnsi="Times New Roman"/>
          <w:color w:val="000000" w:themeColor="text1"/>
          <w:sz w:val="24"/>
          <w:u w:val="none"/>
          <w14:textFill>
            <w14:solidFill>
              <w14:schemeClr w14:val="tx1"/>
            </w14:solidFill>
          </w14:textFill>
        </w:rPr>
        <w:t>苯、甲苯、乙苯、间/对-二甲苯、邻-二甲苯</w:t>
      </w:r>
      <w:r>
        <w:rPr>
          <w:rFonts w:hint="eastAsia"/>
          <w:color w:val="000000" w:themeColor="text1"/>
          <w:sz w:val="24"/>
          <w:u w:val="none"/>
          <w:lang w:eastAsia="zh-CN"/>
          <w14:textFill>
            <w14:solidFill>
              <w14:schemeClr w14:val="tx1"/>
            </w14:solidFill>
          </w14:textFill>
        </w:rPr>
        <w:t>、</w:t>
      </w:r>
      <w:r>
        <w:rPr>
          <w:rFonts w:hint="eastAsia" w:ascii="Times New Roman" w:hAnsi="Times New Roman"/>
          <w:color w:val="000000" w:themeColor="text1"/>
          <w:u w:val="none"/>
          <w14:textFill>
            <w14:solidFill>
              <w14:schemeClr w14:val="tx1"/>
            </w14:solidFill>
          </w14:textFill>
        </w:rPr>
        <w:t>砷、镉、铬（六价）、铜、铅、汞、镍、锌</w:t>
      </w:r>
      <w:r>
        <w:rPr>
          <w:rFonts w:hint="eastAsia"/>
          <w:color w:val="000000" w:themeColor="text1"/>
          <w:sz w:val="24"/>
          <w:u w:val="none"/>
          <w:lang w:eastAsia="zh-CN"/>
          <w14:textFill>
            <w14:solidFill>
              <w14:schemeClr w14:val="tx1"/>
            </w14:solidFill>
          </w14:textFill>
        </w:rPr>
        <w:t>、</w:t>
      </w:r>
      <w:r>
        <w:rPr>
          <w:rFonts w:hint="eastAsia" w:ascii="Times New Roman" w:hAnsi="Times New Roman"/>
          <w:color w:val="000000" w:themeColor="text1"/>
          <w:sz w:val="24"/>
          <w:u w:val="none"/>
          <w14:textFill>
            <w14:solidFill>
              <w14:schemeClr w14:val="tx1"/>
            </w14:solidFill>
          </w14:textFill>
        </w:rPr>
        <w:t>氟化物</w:t>
      </w:r>
      <w:r>
        <w:rPr>
          <w:rFonts w:hint="eastAsia"/>
          <w:color w:val="000000" w:themeColor="text1"/>
          <w:sz w:val="24"/>
          <w:u w:val="none"/>
          <w:lang w:eastAsia="zh-CN"/>
          <w14:textFill>
            <w14:solidFill>
              <w14:schemeClr w14:val="tx1"/>
            </w14:solidFill>
          </w14:textFill>
        </w:rPr>
        <w:t>、</w:t>
      </w:r>
      <w:r>
        <w:rPr>
          <w:rFonts w:hint="eastAsia" w:ascii="Times New Roman" w:hAnsi="Times New Roman"/>
          <w:color w:val="000000" w:themeColor="text1"/>
          <w:sz w:val="24"/>
          <w:u w:val="none"/>
          <w14:textFill>
            <w14:solidFill>
              <w14:schemeClr w14:val="tx1"/>
            </w14:solidFill>
          </w14:textFill>
        </w:rPr>
        <w:t>可萃取性石油烃</w:t>
      </w:r>
      <w:r>
        <w:rPr>
          <w:rFonts w:hint="eastAsia"/>
          <w:color w:val="000000" w:themeColor="text1"/>
          <w:u w:val="none"/>
          <w14:textFill>
            <w14:solidFill>
              <w14:schemeClr w14:val="tx1"/>
            </w14:solidFill>
          </w14:textFill>
        </w:rPr>
        <w:t>（C</w:t>
      </w:r>
      <w:r>
        <w:rPr>
          <w:rFonts w:hint="eastAsia"/>
          <w:color w:val="000000" w:themeColor="text1"/>
          <w:u w:val="none"/>
          <w:vertAlign w:val="subscript"/>
          <w14:textFill>
            <w14:solidFill>
              <w14:schemeClr w14:val="tx1"/>
            </w14:solidFill>
          </w14:textFill>
        </w:rPr>
        <w:t>10</w:t>
      </w:r>
      <w:r>
        <w:rPr>
          <w:rFonts w:hint="eastAsia"/>
          <w:color w:val="000000" w:themeColor="text1"/>
          <w:u w:val="none"/>
          <w14:textFill>
            <w14:solidFill>
              <w14:schemeClr w14:val="tx1"/>
            </w14:solidFill>
          </w14:textFill>
        </w:rPr>
        <w:t>-C</w:t>
      </w:r>
      <w:r>
        <w:rPr>
          <w:rFonts w:hint="eastAsia"/>
          <w:color w:val="000000" w:themeColor="text1"/>
          <w:u w:val="none"/>
          <w:vertAlign w:val="subscript"/>
          <w14:textFill>
            <w14:solidFill>
              <w14:schemeClr w14:val="tx1"/>
            </w14:solidFill>
          </w14:textFill>
        </w:rPr>
        <w:t>40</w:t>
      </w:r>
      <w:r>
        <w:rPr>
          <w:rFonts w:hint="eastAsia"/>
          <w:color w:val="000000" w:themeColor="text1"/>
          <w:u w:val="none"/>
          <w14:textFill>
            <w14:solidFill>
              <w14:schemeClr w14:val="tx1"/>
            </w14:solidFill>
          </w14:textFill>
        </w:rPr>
        <w:t>）</w:t>
      </w:r>
      <w:r>
        <w:rPr>
          <w:rFonts w:hint="eastAsia"/>
          <w:color w:val="000000" w:themeColor="text1"/>
          <w:u w:val="none"/>
          <w:lang w:eastAsia="zh-CN"/>
          <w14:textFill>
            <w14:solidFill>
              <w14:schemeClr w14:val="tx1"/>
            </w14:solidFill>
          </w14:textFill>
        </w:rPr>
        <w:t>；</w:t>
      </w:r>
      <w:r>
        <w:rPr>
          <w:rFonts w:hint="eastAsia"/>
          <w:color w:val="000000" w:themeColor="text1"/>
          <w:u w:val="none"/>
          <w:lang w:val="en-US" w:eastAsia="zh-CN"/>
          <w14:textFill>
            <w14:solidFill>
              <w14:schemeClr w14:val="tx1"/>
            </w14:solidFill>
          </w14:textFill>
        </w:rPr>
        <w:t>2022年8月25日至8月26日，在地块内已开挖区域（基坑底部和侧壁）补充设置了31个土壤快速筛查采样点，快速筛查检测项目为VOCs、砷、镉、铬、铜、铅、锌、汞、镍。</w:t>
      </w:r>
    </w:p>
    <w:p>
      <w:pPr>
        <w:ind w:firstLine="480"/>
        <w:rPr>
          <w:color w:val="000000" w:themeColor="text1"/>
          <w:u w:val="none"/>
          <w14:textFill>
            <w14:solidFill>
              <w14:schemeClr w14:val="tx1"/>
            </w14:solidFill>
          </w14:textFill>
        </w:rPr>
      </w:pPr>
      <w:r>
        <w:rPr>
          <w:color w:val="000000" w:themeColor="text1"/>
          <w:u w:val="none"/>
          <w14:textFill>
            <w14:solidFill>
              <w14:schemeClr w14:val="tx1"/>
            </w14:solidFill>
          </w14:textFill>
        </w:rPr>
        <w:t>本项目土壤筛选值</w:t>
      </w:r>
      <w:r>
        <w:rPr>
          <w:rFonts w:hint="eastAsia"/>
          <w:color w:val="000000" w:themeColor="text1"/>
          <w:u w:val="none"/>
          <w:lang w:eastAsia="zh-CN"/>
          <w14:textFill>
            <w14:solidFill>
              <w14:schemeClr w14:val="tx1"/>
            </w14:solidFill>
          </w14:textFill>
        </w:rPr>
        <w:t>部分</w:t>
      </w:r>
      <w:r>
        <w:rPr>
          <w:color w:val="000000" w:themeColor="text1"/>
          <w:u w:val="none"/>
          <w14:textFill>
            <w14:solidFill>
              <w14:schemeClr w14:val="tx1"/>
            </w14:solidFill>
          </w14:textFill>
        </w:rPr>
        <w:t>执行《土壤环境质量 建设用地土壤污染风险管控标准（试行）》（GB36600-2018）中的第一类用地筛选值标准</w:t>
      </w:r>
      <w:r>
        <w:rPr>
          <w:rFonts w:hint="eastAsia"/>
          <w:color w:val="000000" w:themeColor="text1"/>
          <w:u w:val="none"/>
          <w:lang w:eastAsia="zh-CN"/>
          <w14:textFill>
            <w14:solidFill>
              <w14:schemeClr w14:val="tx1"/>
            </w14:solidFill>
          </w14:textFill>
        </w:rPr>
        <w:t>，锌、氟化物采用《建设用地土壤污染风险评估技术导则》（HJ25.3-2019）风险评估推导风险筛选值</w:t>
      </w:r>
      <w:r>
        <w:rPr>
          <w:rFonts w:hint="eastAsia"/>
          <w:color w:val="000000" w:themeColor="text1"/>
          <w:u w:val="none"/>
          <w14:textFill>
            <w14:solidFill>
              <w14:schemeClr w14:val="tx1"/>
            </w14:solidFill>
          </w14:textFill>
        </w:rPr>
        <w:t>。</w:t>
      </w:r>
      <w:r>
        <w:rPr>
          <w:color w:val="000000" w:themeColor="text1"/>
          <w:u w:val="none"/>
          <w14:textFill>
            <w14:solidFill>
              <w14:schemeClr w14:val="tx1"/>
            </w14:solidFill>
          </w14:textFill>
        </w:rPr>
        <w:t>地下水检测指标参考《地下水质量标准》（GB/T14848-2017）中的</w:t>
      </w:r>
      <w:r>
        <w:rPr>
          <w:rFonts w:eastAsia="幼圆"/>
          <w:color w:val="000000" w:themeColor="text1"/>
          <w:u w:val="none"/>
          <w14:textFill>
            <w14:solidFill>
              <w14:schemeClr w14:val="tx1"/>
            </w14:solidFill>
          </w14:textFill>
        </w:rPr>
        <w:t>Ⅲ</w:t>
      </w:r>
      <w:r>
        <w:rPr>
          <w:color w:val="000000" w:themeColor="text1"/>
          <w:u w:val="none"/>
          <w14:textFill>
            <w14:solidFill>
              <w14:schemeClr w14:val="tx1"/>
            </w14:solidFill>
          </w14:textFill>
        </w:rPr>
        <w:t>类标准限值</w:t>
      </w:r>
      <w:r>
        <w:rPr>
          <w:rFonts w:hint="eastAsia"/>
          <w:color w:val="000000" w:themeColor="text1"/>
          <w:u w:val="none"/>
          <w:lang w:eastAsia="zh-CN"/>
          <w14:textFill>
            <w14:solidFill>
              <w14:schemeClr w14:val="tx1"/>
            </w14:solidFill>
          </w14:textFill>
        </w:rPr>
        <w:t>和</w:t>
      </w:r>
      <w:r>
        <w:rPr>
          <w:rFonts w:hint="eastAsia" w:eastAsia="宋体" w:cs="Times New Roman"/>
          <w:color w:val="000000" w:themeColor="text1"/>
          <w:u w:val="none"/>
          <w14:textFill>
            <w14:solidFill>
              <w14:schemeClr w14:val="tx1"/>
            </w14:solidFill>
          </w14:textFill>
        </w:rPr>
        <w:t>《建设用地土壤污染风险评估技术导则》（HJ25.3-2019）风险评估推导风险筛选值</w:t>
      </w:r>
      <w:r>
        <w:rPr>
          <w:rFonts w:hint="eastAsia" w:eastAsia="宋体" w:cs="Times New Roman"/>
          <w:color w:val="000000" w:themeColor="text1"/>
          <w:u w:val="none"/>
          <w:lang w:eastAsia="zh-CN"/>
          <w14:textFill>
            <w14:solidFill>
              <w14:schemeClr w14:val="tx1"/>
            </w14:solidFill>
          </w14:textFill>
        </w:rPr>
        <w:t>的要求</w:t>
      </w:r>
      <w:r>
        <w:rPr>
          <w:color w:val="000000" w:themeColor="text1"/>
          <w:u w:val="none"/>
          <w14:textFill>
            <w14:solidFill>
              <w14:schemeClr w14:val="tx1"/>
            </w14:solidFill>
          </w14:textFill>
        </w:rPr>
        <w:t>。</w:t>
      </w:r>
    </w:p>
    <w:p>
      <w:pPr>
        <w:ind w:firstLine="480"/>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地块中</w:t>
      </w:r>
      <w:r>
        <w:rPr>
          <w:rFonts w:hint="eastAsia"/>
          <w:color w:val="000000" w:themeColor="text1"/>
          <w:u w:val="none"/>
          <w:lang w:eastAsia="zh-CN"/>
          <w14:textFill>
            <w14:solidFill>
              <w14:schemeClr w14:val="tx1"/>
            </w14:solidFill>
          </w14:textFill>
        </w:rPr>
        <w:t>各样品和外运土各样品的六价铬、</w:t>
      </w:r>
      <w:r>
        <w:rPr>
          <w:color w:val="000000" w:themeColor="text1"/>
          <w:u w:val="none"/>
          <w14:textFill>
            <w14:solidFill>
              <w14:schemeClr w14:val="tx1"/>
            </w14:solidFill>
          </w14:textFill>
        </w:rPr>
        <w:t>四氯化碳、氯仿、氯甲烷、1,1-二氯乙烷、1,1-二氯乙烯、顺-1,2-二氯乙烯</w:t>
      </w:r>
      <w:r>
        <w:rPr>
          <w:rFonts w:hint="eastAsia"/>
          <w:color w:val="000000" w:themeColor="text1"/>
          <w:u w:val="none"/>
          <w14:textFill>
            <w14:solidFill>
              <w14:schemeClr w14:val="tx1"/>
            </w14:solidFill>
          </w14:textFill>
        </w:rPr>
        <w:t>、</w:t>
      </w:r>
      <w:r>
        <w:rPr>
          <w:color w:val="000000" w:themeColor="text1"/>
          <w:u w:val="none"/>
          <w14:textFill>
            <w14:solidFill>
              <w14:schemeClr w14:val="tx1"/>
            </w14:solidFill>
          </w14:textFill>
        </w:rPr>
        <w:t>反-1,2-二氯乙烯</w:t>
      </w:r>
      <w:r>
        <w:rPr>
          <w:rFonts w:hint="eastAsia"/>
          <w:color w:val="000000" w:themeColor="text1"/>
          <w:u w:val="none"/>
          <w14:textFill>
            <w14:solidFill>
              <w14:schemeClr w14:val="tx1"/>
            </w14:solidFill>
          </w14:textFill>
        </w:rPr>
        <w:t>、</w:t>
      </w:r>
      <w:r>
        <w:rPr>
          <w:color w:val="000000" w:themeColor="text1"/>
          <w:u w:val="none"/>
          <w14:textFill>
            <w14:solidFill>
              <w14:schemeClr w14:val="tx1"/>
            </w14:solidFill>
          </w14:textFill>
        </w:rPr>
        <w:t>二氯甲烷、</w:t>
      </w:r>
      <w:r>
        <w:rPr>
          <w:rFonts w:hint="eastAsia"/>
          <w:color w:val="000000" w:themeColor="text1"/>
          <w:u w:val="none"/>
          <w:lang w:eastAsia="zh-CN"/>
          <w14:textFill>
            <w14:solidFill>
              <w14:schemeClr w14:val="tx1"/>
            </w14:solidFill>
          </w14:textFill>
        </w:rPr>
        <w:t>1,2-二氯乙烷、</w:t>
      </w:r>
      <w:r>
        <w:rPr>
          <w:color w:val="000000" w:themeColor="text1"/>
          <w:u w:val="none"/>
          <w14:textFill>
            <w14:solidFill>
              <w14:schemeClr w14:val="tx1"/>
            </w14:solidFill>
          </w14:textFill>
        </w:rPr>
        <w:t>1,2-二氯丙烷、1,1,1,2-四氯乙烷、1,1,2,2-四氯乙烷、四氯乙烯、1,1,1-三氯乙烷、1,1,2-三氯乙烷、三氯乙烯、1,2,3-三氯丙烷、氯乙烯、氯苯、1,2-二氯苯、1,4-二氯苯、</w:t>
      </w:r>
      <w:r>
        <w:rPr>
          <w:rFonts w:hint="eastAsia"/>
          <w:color w:val="000000" w:themeColor="text1"/>
          <w:u w:val="none"/>
          <w:lang w:eastAsia="zh-CN"/>
          <w14:textFill>
            <w14:solidFill>
              <w14:schemeClr w14:val="tx1"/>
            </w14:solidFill>
          </w14:textFill>
        </w:rPr>
        <w:t>苯、甲苯、乙苯、</w:t>
      </w:r>
      <w:r>
        <w:rPr>
          <w:color w:val="000000" w:themeColor="text1"/>
          <w:u w:val="none"/>
          <w14:textFill>
            <w14:solidFill>
              <w14:schemeClr w14:val="tx1"/>
            </w14:solidFill>
          </w14:textFill>
        </w:rPr>
        <w:t>间/对-二甲苯</w:t>
      </w:r>
      <w:r>
        <w:rPr>
          <w:rFonts w:hint="eastAsia"/>
          <w:color w:val="000000" w:themeColor="text1"/>
          <w:u w:val="none"/>
          <w:lang w:eastAsia="zh-CN"/>
          <w14:textFill>
            <w14:solidFill>
              <w14:schemeClr w14:val="tx1"/>
            </w14:solidFill>
          </w14:textFill>
        </w:rPr>
        <w:t>、</w:t>
      </w:r>
      <w:r>
        <w:rPr>
          <w:color w:val="000000" w:themeColor="text1"/>
          <w:u w:val="none"/>
          <w14:textFill>
            <w14:solidFill>
              <w14:schemeClr w14:val="tx1"/>
            </w14:solidFill>
          </w14:textFill>
        </w:rPr>
        <w:t>邻-二甲苯</w:t>
      </w:r>
      <w:r>
        <w:rPr>
          <w:rFonts w:hint="eastAsia"/>
          <w:color w:val="000000" w:themeColor="text1"/>
          <w:u w:val="none"/>
          <w:lang w:eastAsia="zh-CN"/>
          <w14:textFill>
            <w14:solidFill>
              <w14:schemeClr w14:val="tx1"/>
            </w14:solidFill>
          </w14:textFill>
        </w:rPr>
        <w:t>、苯乙烯、</w:t>
      </w:r>
      <w:r>
        <w:rPr>
          <w:color w:val="000000" w:themeColor="text1"/>
          <w:u w:val="none"/>
          <w14:textFill>
            <w14:solidFill>
              <w14:schemeClr w14:val="tx1"/>
            </w14:solidFill>
          </w14:textFill>
        </w:rPr>
        <w:t>硝基苯、苯胺、</w:t>
      </w:r>
      <w:r>
        <w:rPr>
          <w:rFonts w:hint="eastAsia"/>
          <w:color w:val="000000" w:themeColor="text1"/>
          <w:u w:val="none"/>
          <w:lang w:eastAsia="zh-CN"/>
          <w14:textFill>
            <w14:solidFill>
              <w14:schemeClr w14:val="tx1"/>
            </w14:solidFill>
          </w14:textFill>
        </w:rPr>
        <w:t>2-氯苯酚</w:t>
      </w:r>
      <w:r>
        <w:rPr>
          <w:color w:val="000000" w:themeColor="text1"/>
          <w:u w:val="none"/>
          <w14:textFill>
            <w14:solidFill>
              <w14:schemeClr w14:val="tx1"/>
            </w14:solidFill>
          </w14:textFill>
        </w:rPr>
        <w:t>、苯并(a)蒽、苯并(a)芘、苯并(b)荧蒽、苯并(k)荧蒽、䓛、二苯并(a,h)蒽、茚并(1,2,3-cd)芘、萘等</w:t>
      </w:r>
      <w:r>
        <w:rPr>
          <w:rFonts w:hint="eastAsia"/>
          <w:color w:val="000000" w:themeColor="text1"/>
          <w:u w:val="none"/>
          <w:lang w:val="en-US" w:eastAsia="zh-CN"/>
          <w14:textFill>
            <w14:solidFill>
              <w14:schemeClr w14:val="tx1"/>
            </w14:solidFill>
          </w14:textFill>
        </w:rPr>
        <w:t>38</w:t>
      </w:r>
      <w:r>
        <w:rPr>
          <w:color w:val="000000" w:themeColor="text1"/>
          <w:u w:val="none"/>
          <w14:textFill>
            <w14:solidFill>
              <w14:schemeClr w14:val="tx1"/>
            </w14:solidFill>
          </w14:textFill>
        </w:rPr>
        <w:t>项</w:t>
      </w:r>
      <w:r>
        <w:rPr>
          <w:rFonts w:hint="eastAsia"/>
          <w:color w:val="000000" w:themeColor="text1"/>
          <w:u w:val="none"/>
          <w:lang w:eastAsia="zh-CN"/>
          <w14:textFill>
            <w14:solidFill>
              <w14:schemeClr w14:val="tx1"/>
            </w14:solidFill>
          </w14:textFill>
        </w:rPr>
        <w:t>指标</w:t>
      </w:r>
      <w:r>
        <w:rPr>
          <w:color w:val="000000" w:themeColor="text1"/>
          <w:u w:val="none"/>
          <w14:textFill>
            <w14:solidFill>
              <w14:schemeClr w14:val="tx1"/>
            </w14:solidFill>
          </w14:textFill>
        </w:rPr>
        <w:t>均未检出</w:t>
      </w:r>
      <w:r>
        <w:rPr>
          <w:rFonts w:hint="eastAsia"/>
          <w:color w:val="000000" w:themeColor="text1"/>
          <w:u w:val="none"/>
          <w14:textFill>
            <w14:solidFill>
              <w14:schemeClr w14:val="tx1"/>
            </w14:solidFill>
          </w14:textFill>
        </w:rPr>
        <w:t>；砷、镉、铜、铅、汞、镍</w:t>
      </w:r>
      <w:r>
        <w:rPr>
          <w:rFonts w:hint="eastAsia"/>
          <w:color w:val="000000" w:themeColor="text1"/>
          <w:u w:val="none"/>
          <w:lang w:eastAsia="zh-CN"/>
          <w14:textFill>
            <w14:solidFill>
              <w14:schemeClr w14:val="tx1"/>
            </w14:solidFill>
          </w14:textFill>
        </w:rPr>
        <w:t>、锌、氟化物、</w:t>
      </w:r>
      <w:r>
        <w:rPr>
          <w:rFonts w:hint="eastAsia"/>
          <w:color w:val="000000" w:themeColor="text1"/>
          <w:u w:val="none"/>
          <w14:textFill>
            <w14:solidFill>
              <w14:schemeClr w14:val="tx1"/>
            </w14:solidFill>
          </w14:textFill>
        </w:rPr>
        <w:t>和</w:t>
      </w:r>
      <w:r>
        <w:rPr>
          <w:color w:val="000000" w:themeColor="text1"/>
          <w:u w:val="none"/>
          <w14:textFill>
            <w14:solidFill>
              <w14:schemeClr w14:val="tx1"/>
            </w14:solidFill>
          </w14:textFill>
        </w:rPr>
        <w:t>石油烃（C</w:t>
      </w:r>
      <w:r>
        <w:rPr>
          <w:color w:val="000000" w:themeColor="text1"/>
          <w:u w:val="none"/>
          <w:vertAlign w:val="subscript"/>
          <w14:textFill>
            <w14:solidFill>
              <w14:schemeClr w14:val="tx1"/>
            </w14:solidFill>
          </w14:textFill>
        </w:rPr>
        <w:t>10</w:t>
      </w:r>
      <w:r>
        <w:rPr>
          <w:color w:val="000000" w:themeColor="text1"/>
          <w:u w:val="none"/>
          <w14:textFill>
            <w14:solidFill>
              <w14:schemeClr w14:val="tx1"/>
            </w14:solidFill>
          </w14:textFill>
        </w:rPr>
        <w:t>-C</w:t>
      </w:r>
      <w:r>
        <w:rPr>
          <w:color w:val="000000" w:themeColor="text1"/>
          <w:u w:val="none"/>
          <w:vertAlign w:val="subscript"/>
          <w14:textFill>
            <w14:solidFill>
              <w14:schemeClr w14:val="tx1"/>
            </w14:solidFill>
          </w14:textFill>
        </w:rPr>
        <w:t>40</w:t>
      </w:r>
      <w:r>
        <w:rPr>
          <w:color w:val="000000" w:themeColor="text1"/>
          <w:u w:val="none"/>
          <w14:textFill>
            <w14:solidFill>
              <w14:schemeClr w14:val="tx1"/>
            </w14:solidFill>
          </w14:textFill>
        </w:rPr>
        <w:t>）等有检出的污染物浓度均低于本项目确定的筛选值</w:t>
      </w:r>
      <w:r>
        <w:rPr>
          <w:rFonts w:hint="eastAsia"/>
          <w:color w:val="000000" w:themeColor="text1"/>
          <w:u w:val="none"/>
          <w14:textFill>
            <w14:solidFill>
              <w14:schemeClr w14:val="tx1"/>
            </w14:solidFill>
          </w14:textFill>
        </w:rPr>
        <w:t>；</w:t>
      </w:r>
    </w:p>
    <w:p>
      <w:pPr>
        <w:ind w:firstLine="480"/>
        <w:rPr>
          <w:rFonts w:hint="eastAsia" w:ascii="Times New Roman" w:hAnsi="Times New Roman" w:eastAsia="宋体" w:cs="Times New Roman"/>
          <w:color w:val="000000" w:themeColor="text1"/>
          <w:u w:val="none"/>
          <w:lang w:eastAsia="zh-CN"/>
          <w14:textFill>
            <w14:solidFill>
              <w14:schemeClr w14:val="tx1"/>
            </w14:solidFill>
          </w14:textFill>
        </w:rPr>
      </w:pPr>
      <w:r>
        <w:rPr>
          <w:rFonts w:hint="eastAsia" w:ascii="Times New Roman" w:hAnsi="Times New Roman" w:eastAsia="宋体" w:cs="Times New Roman"/>
          <w:color w:val="000000" w:themeColor="text1"/>
          <w:u w:val="none"/>
          <w:lang w:eastAsia="zh-CN"/>
          <w14:textFill>
            <w14:solidFill>
              <w14:schemeClr w14:val="tx1"/>
            </w14:solidFill>
          </w14:textFill>
        </w:rPr>
        <w:t>地块内已开挖区域的土壤快速筛查</w:t>
      </w:r>
      <w:r>
        <w:rPr>
          <w:rFonts w:hint="eastAsia" w:ascii="Times New Roman" w:hAnsi="Times New Roman" w:eastAsia="宋体" w:cs="Times New Roman"/>
          <w:color w:val="000000" w:themeColor="text1"/>
          <w:kern w:val="2"/>
          <w:sz w:val="24"/>
          <w:szCs w:val="24"/>
          <w:u w:val="none"/>
          <w:lang w:val="en-US" w:eastAsia="zh-CN" w:bidi="ar-SA"/>
          <w14:textFill>
            <w14:solidFill>
              <w14:schemeClr w14:val="tx1"/>
            </w14:solidFill>
          </w14:textFill>
        </w:rPr>
        <w:t>各样品中砷、镉、铜、铅、汞、镍均无出现超出筛选值的情况。</w:t>
      </w:r>
    </w:p>
    <w:p>
      <w:pPr>
        <w:ind w:firstLine="480"/>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调查地块地下水环境调查的</w:t>
      </w:r>
      <w:r>
        <w:rPr>
          <w:rFonts w:hint="eastAsia"/>
          <w:color w:val="000000" w:themeColor="text1"/>
          <w:u w:val="none"/>
          <w:lang w:val="en-US" w:eastAsia="zh-CN"/>
          <w14:textFill>
            <w14:solidFill>
              <w14:schemeClr w14:val="tx1"/>
            </w14:solidFill>
          </w14:textFill>
        </w:rPr>
        <w:t>3</w:t>
      </w:r>
      <w:r>
        <w:rPr>
          <w:rFonts w:hint="eastAsia"/>
          <w:color w:val="000000" w:themeColor="text1"/>
          <w:u w:val="none"/>
          <w14:textFill>
            <w14:solidFill>
              <w14:schemeClr w14:val="tx1"/>
            </w14:solidFill>
          </w14:textFill>
        </w:rPr>
        <w:t>个地下水样品中，所有地下水样品的pH值为</w:t>
      </w:r>
      <w:r>
        <w:rPr>
          <w:rFonts w:hint="eastAsia"/>
          <w:color w:val="000000" w:themeColor="text1"/>
          <w:u w:val="none"/>
          <w:lang w:val="en-US" w:eastAsia="zh-CN"/>
          <w14:textFill>
            <w14:solidFill>
              <w14:schemeClr w14:val="tx1"/>
            </w14:solidFill>
          </w14:textFill>
        </w:rPr>
        <w:t>6.8</w:t>
      </w:r>
      <w:r>
        <w:rPr>
          <w:color w:val="000000" w:themeColor="text1"/>
          <w:u w:val="none"/>
          <w14:textFill>
            <w14:solidFill>
              <w14:schemeClr w14:val="tx1"/>
            </w14:solidFill>
          </w14:textFill>
        </w:rPr>
        <w:t>~</w:t>
      </w:r>
      <w:r>
        <w:rPr>
          <w:rFonts w:hint="eastAsia"/>
          <w:color w:val="000000" w:themeColor="text1"/>
          <w:u w:val="none"/>
          <w:lang w:val="en-US" w:eastAsia="zh-CN"/>
          <w14:textFill>
            <w14:solidFill>
              <w14:schemeClr w14:val="tx1"/>
            </w14:solidFill>
          </w14:textFill>
        </w:rPr>
        <w:t>6.9</w:t>
      </w:r>
      <w:r>
        <w:rPr>
          <w:rFonts w:hint="eastAsia"/>
          <w:color w:val="000000" w:themeColor="text1"/>
          <w:u w:val="none"/>
          <w14:textFill>
            <w14:solidFill>
              <w14:schemeClr w14:val="tx1"/>
            </w14:solidFill>
          </w14:textFill>
        </w:rPr>
        <w:t>，整体中性偏酸。所有检测项目均符合《地下水质量标准》(GB/T 14848-2017)Ⅲ类水标准</w:t>
      </w:r>
      <w:r>
        <w:rPr>
          <w:rFonts w:hint="eastAsia"/>
          <w:color w:val="000000" w:themeColor="text1"/>
          <w:u w:val="none"/>
          <w:lang w:eastAsia="zh-CN"/>
          <w14:textFill>
            <w14:solidFill>
              <w14:schemeClr w14:val="tx1"/>
            </w14:solidFill>
          </w14:textFill>
        </w:rPr>
        <w:t>和</w:t>
      </w:r>
      <w:r>
        <w:rPr>
          <w:rFonts w:hint="eastAsia" w:eastAsia="宋体" w:cs="Times New Roman"/>
          <w:color w:val="000000" w:themeColor="text1"/>
          <w:u w:val="none"/>
          <w14:textFill>
            <w14:solidFill>
              <w14:schemeClr w14:val="tx1"/>
            </w14:solidFill>
          </w14:textFill>
        </w:rPr>
        <w:t>《建设用地土壤污染风险评估技术导则》（HJ25.3-2019）风险评估推导风险筛选值</w:t>
      </w:r>
      <w:r>
        <w:rPr>
          <w:rFonts w:hint="eastAsia" w:eastAsia="宋体" w:cs="Times New Roman"/>
          <w:color w:val="000000" w:themeColor="text1"/>
          <w:u w:val="none"/>
          <w:lang w:eastAsia="zh-CN"/>
          <w14:textFill>
            <w14:solidFill>
              <w14:schemeClr w14:val="tx1"/>
            </w14:solidFill>
          </w14:textFill>
        </w:rPr>
        <w:t>的要求</w:t>
      </w:r>
      <w:r>
        <w:rPr>
          <w:rFonts w:hint="eastAsia"/>
          <w:color w:val="000000" w:themeColor="text1"/>
          <w:u w:val="none"/>
          <w14:textFill>
            <w14:solidFill>
              <w14:schemeClr w14:val="tx1"/>
            </w14:solidFill>
          </w14:textFill>
        </w:rPr>
        <w:t>。</w:t>
      </w:r>
    </w:p>
    <w:p>
      <w:pPr>
        <w:rPr>
          <w:color w:val="000000" w:themeColor="text1"/>
          <w:u w:val="none"/>
          <w14:textFill>
            <w14:solidFill>
              <w14:schemeClr w14:val="tx1"/>
            </w14:solidFill>
          </w14:textFill>
        </w:rPr>
      </w:pPr>
      <w:r>
        <w:rPr>
          <w:color w:val="000000" w:themeColor="text1"/>
          <w:u w:val="none"/>
          <w14:textFill>
            <w14:solidFill>
              <w14:schemeClr w14:val="tx1"/>
            </w14:solidFill>
          </w14:textFill>
        </w:rPr>
        <w:t>综上所述，该地块不属于污染地块，土壤和地下水环境质量基本符合未来用地规划的要求。土壤和地下水污染状况调查工作已结束，无需</w:t>
      </w:r>
      <w:r>
        <w:rPr>
          <w:rFonts w:hint="eastAsia"/>
          <w:color w:val="000000" w:themeColor="text1"/>
          <w:u w:val="none"/>
          <w:lang w:eastAsia="zh-CN"/>
          <w14:textFill>
            <w14:solidFill>
              <w14:schemeClr w14:val="tx1"/>
            </w14:solidFill>
          </w14:textFill>
        </w:rPr>
        <w:t>进行</w:t>
      </w:r>
      <w:r>
        <w:rPr>
          <w:color w:val="000000" w:themeColor="text1"/>
          <w:u w:val="none"/>
          <w14:textFill>
            <w14:solidFill>
              <w14:schemeClr w14:val="tx1"/>
            </w14:solidFill>
          </w14:textFill>
        </w:rPr>
        <w:t>下一步的详细调查和风险评估工作。</w:t>
      </w:r>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08B0B"/>
    <w:multiLevelType w:val="singleLevel"/>
    <w:tmpl w:val="11008B0B"/>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Y2NjMmM4ZmJlOGVhYzA3ZDEyNTNmMjg0YzZkMTIifQ=="/>
  </w:docVars>
  <w:rsids>
    <w:rsidRoot w:val="56451508"/>
    <w:rsid w:val="56451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3">
    <w:name w:val="纯文本1"/>
    <w:qFormat/>
    <w:uiPriority w:val="0"/>
    <w:pPr>
      <w:autoSpaceDE w:val="0"/>
      <w:autoSpaceDN w:val="0"/>
      <w:adjustRightInd w:val="0"/>
      <w:spacing w:beforeLines="50" w:afterLines="50" w:line="360" w:lineRule="auto"/>
      <w:ind w:firstLine="480" w:firstLineChars="200"/>
      <w:textAlignment w:val="baseline"/>
    </w:pPr>
    <w:rPr>
      <w:rFonts w:ascii="Tahoma" w:hAnsi="幼圆" w:eastAsia="宋体" w:cs="Tahoma"/>
      <w:sz w:val="24"/>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2022-09-09T06:48:00Z</dcterms:created>
  <dc:creator>Carsonlueng</dc:creator>
  <cp:lastModifiedBy>Carsonlueng</cp:lastModifiedBy>
  <dcterms:modified xsi:type="dcterms:W3CDTF">2022-09-09T06:49:41Z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D8EC78AB500F441FAA28F0D5FC0581E2</vt:lpwstr>
  </property>
</Properties>
</file>